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720A" w:rsidRDefault="0086160A">
      <w:pPr>
        <w:pStyle w:val="Heading1"/>
      </w:pPr>
      <w:bookmarkStart w:id="0" w:name="architectural-guidelines-for-project-sof"/>
      <w:bookmarkEnd w:id="0"/>
      <w:r>
        <w:t>Architectural Guidelines for Project Software Deliverables</w:t>
      </w:r>
    </w:p>
    <w:p w:rsidR="0051720A" w:rsidRDefault="0086160A">
      <w:pPr>
        <w:pStyle w:val="FirstParagraph"/>
      </w:pPr>
      <w:r>
        <w:t>The following guidelines are intended to increase the maintainability and reusability of software constructed as part of project deliverables.</w:t>
      </w:r>
    </w:p>
    <w:p w:rsidR="0051720A" w:rsidRDefault="0086160A">
      <w:pPr>
        <w:pStyle w:val="Heading2"/>
      </w:pPr>
      <w:bookmarkStart w:id="1" w:name="glossary"/>
      <w:bookmarkEnd w:id="1"/>
      <w:r>
        <w:t>Glossary</w:t>
      </w:r>
    </w:p>
    <w:p w:rsidR="0051720A" w:rsidRDefault="0086160A">
      <w:pPr>
        <w:pStyle w:val="DefinitionTerm"/>
      </w:pPr>
      <w:r>
        <w:t>API</w:t>
      </w:r>
    </w:p>
    <w:p w:rsidR="0051720A" w:rsidRDefault="0086160A">
      <w:pPr>
        <w:pStyle w:val="Definition"/>
      </w:pPr>
      <w:hyperlink r:id="rId7">
        <w:r>
          <w:rPr>
            <w:rStyle w:val="Hyperlink"/>
          </w:rPr>
          <w:t>application programming interface</w:t>
        </w:r>
      </w:hyperlink>
    </w:p>
    <w:p w:rsidR="0051720A" w:rsidRDefault="0086160A">
      <w:pPr>
        <w:pStyle w:val="DefinitionTerm"/>
      </w:pPr>
      <w:r>
        <w:t>CLI</w:t>
      </w:r>
    </w:p>
    <w:p w:rsidR="0051720A" w:rsidRDefault="0086160A">
      <w:pPr>
        <w:pStyle w:val="Definition"/>
      </w:pPr>
      <w:hyperlink r:id="rId8">
        <w:r>
          <w:rPr>
            <w:rStyle w:val="Hyperlink"/>
          </w:rPr>
          <w:t>command-line interface</w:t>
        </w:r>
      </w:hyperlink>
    </w:p>
    <w:p w:rsidR="0051720A" w:rsidRDefault="0086160A">
      <w:pPr>
        <w:pStyle w:val="DefinitionTerm"/>
      </w:pPr>
      <w:r>
        <w:t>GUI</w:t>
      </w:r>
    </w:p>
    <w:p w:rsidR="0051720A" w:rsidRDefault="0086160A">
      <w:pPr>
        <w:pStyle w:val="Definition"/>
      </w:pPr>
      <w:hyperlink r:id="rId9">
        <w:r>
          <w:rPr>
            <w:rStyle w:val="Hyperlink"/>
          </w:rPr>
          <w:t>graphical user interface</w:t>
        </w:r>
      </w:hyperlink>
    </w:p>
    <w:p w:rsidR="0051720A" w:rsidRDefault="0086160A">
      <w:pPr>
        <w:pStyle w:val="DefinitionTerm"/>
      </w:pPr>
      <w:r>
        <w:t>IDE</w:t>
      </w:r>
    </w:p>
    <w:p w:rsidR="0051720A" w:rsidRDefault="0086160A">
      <w:pPr>
        <w:pStyle w:val="Definition"/>
      </w:pPr>
      <w:hyperlink r:id="rId10">
        <w:r>
          <w:rPr>
            <w:rStyle w:val="Hyperlink"/>
          </w:rPr>
          <w:t>integrated development environment</w:t>
        </w:r>
      </w:hyperlink>
    </w:p>
    <w:p w:rsidR="0051720A" w:rsidRDefault="0086160A">
      <w:pPr>
        <w:pStyle w:val="DefinitionTerm"/>
      </w:pPr>
      <w:r>
        <w:t>JSON</w:t>
      </w:r>
    </w:p>
    <w:p w:rsidR="0051720A" w:rsidRDefault="0086160A">
      <w:pPr>
        <w:pStyle w:val="Definition"/>
      </w:pPr>
      <w:hyperlink r:id="rId11">
        <w:r>
          <w:rPr>
            <w:rStyle w:val="Hyperlink"/>
          </w:rPr>
          <w:t>JavaScript ob</w:t>
        </w:r>
        <w:r>
          <w:rPr>
            <w:rStyle w:val="Hyperlink"/>
          </w:rPr>
          <w:t>ject notation</w:t>
        </w:r>
      </w:hyperlink>
    </w:p>
    <w:p w:rsidR="0051720A" w:rsidRDefault="0086160A">
      <w:pPr>
        <w:pStyle w:val="DefinitionTerm"/>
      </w:pPr>
      <w:r>
        <w:t>SDK</w:t>
      </w:r>
    </w:p>
    <w:p w:rsidR="0051720A" w:rsidRDefault="0086160A">
      <w:pPr>
        <w:pStyle w:val="Definition"/>
      </w:pPr>
      <w:hyperlink r:id="rId12">
        <w:r>
          <w:rPr>
            <w:rStyle w:val="Hyperlink"/>
          </w:rPr>
          <w:t>software development kit</w:t>
        </w:r>
      </w:hyperlink>
    </w:p>
    <w:p w:rsidR="0051720A" w:rsidRDefault="0086160A">
      <w:pPr>
        <w:pStyle w:val="DefinitionTerm"/>
      </w:pPr>
      <w:r>
        <w:t>software package</w:t>
      </w:r>
    </w:p>
    <w:p w:rsidR="0051720A" w:rsidRDefault="0086160A">
      <w:pPr>
        <w:pStyle w:val="Definition"/>
      </w:pPr>
      <w:r>
        <w:t>a file or set of files following a standard file-format (and/or folder-layout) specified, produced, and consumed by a soft</w:t>
      </w:r>
      <w:r>
        <w:t>ware-packaging toolchain.</w:t>
      </w:r>
    </w:p>
    <w:p w:rsidR="0051720A" w:rsidRDefault="0086160A">
      <w:pPr>
        <w:pStyle w:val="DefinitionTerm"/>
      </w:pPr>
      <w:r>
        <w:t>standard I/O</w:t>
      </w:r>
    </w:p>
    <w:p w:rsidR="0051720A" w:rsidRDefault="0086160A">
      <w:pPr>
        <w:pStyle w:val="Definition"/>
      </w:pPr>
      <w:hyperlink r:id="rId13">
        <w:r>
          <w:rPr>
            <w:rStyle w:val="Hyperlink"/>
          </w:rPr>
          <w:t>standard input/output streams</w:t>
        </w:r>
      </w:hyperlink>
    </w:p>
    <w:p w:rsidR="0051720A" w:rsidRDefault="0086160A">
      <w:pPr>
        <w:pStyle w:val="Heading2"/>
      </w:pPr>
      <w:bookmarkStart w:id="2" w:name="complete-test-coverage-of-deliverable-so"/>
      <w:bookmarkEnd w:id="2"/>
      <w:r>
        <w:t>Complete Test Coverage of Deliverable Software Functionality</w:t>
      </w:r>
    </w:p>
    <w:p w:rsidR="0051720A" w:rsidRDefault="0086160A">
      <w:pPr>
        <w:pStyle w:val="FirstParagraph"/>
      </w:pPr>
      <w:r>
        <w:t xml:space="preserve">Project software deliverables </w:t>
      </w:r>
      <w:r>
        <w:rPr>
          <w:b/>
        </w:rPr>
        <w:t>must include</w:t>
      </w:r>
      <w:r>
        <w:t xml:space="preserve"> automated unit an</w:t>
      </w:r>
      <w:r>
        <w:t>d/or automated integration tests sufficient to document and verify all project software functionality.</w:t>
      </w:r>
    </w:p>
    <w:p w:rsidR="0051720A" w:rsidRDefault="0086160A">
      <w:pPr>
        <w:pStyle w:val="BodyText"/>
      </w:pPr>
      <w:r>
        <w:t xml:space="preserve">All tests </w:t>
      </w:r>
      <w:r>
        <w:rPr>
          <w:b/>
        </w:rPr>
        <w:t>should be</w:t>
      </w:r>
      <w:r>
        <w:t xml:space="preserve"> constructed using one or more standard testing frameworks for the software platform chosen to construct the project software.</w:t>
      </w:r>
    </w:p>
    <w:p w:rsidR="0051720A" w:rsidRDefault="0086160A">
      <w:pPr>
        <w:pStyle w:val="BodyText"/>
      </w:pPr>
      <w:r>
        <w:t>Running</w:t>
      </w:r>
      <w:r>
        <w:t xml:space="preserve"> all tests and viewing all test results </w:t>
      </w:r>
      <w:r>
        <w:rPr>
          <w:b/>
        </w:rPr>
        <w:t>must be</w:t>
      </w:r>
      <w:r>
        <w:t xml:space="preserve"> a simple operation documented in a </w:t>
      </w:r>
      <w:hyperlink r:id="rId14">
        <w:r>
          <w:rPr>
            <w:rStyle w:val="Hyperlink"/>
          </w:rPr>
          <w:t>README file</w:t>
        </w:r>
      </w:hyperlink>
      <w:r>
        <w:t xml:space="preserve"> co-located with the project software artifacts, and </w:t>
      </w:r>
      <w:r>
        <w:rPr>
          <w:b/>
        </w:rPr>
        <w:t>must be</w:t>
      </w:r>
      <w:r>
        <w:t xml:space="preserve"> approximately as simple as (1) opening the se</w:t>
      </w:r>
      <w:r>
        <w:t>t of deliverables (e.g. using an IDE) and (2) clicking a single button or invoking a single command.</w:t>
      </w:r>
    </w:p>
    <w:p w:rsidR="0051720A" w:rsidRDefault="0086160A">
      <w:pPr>
        <w:pStyle w:val="BodyText"/>
      </w:pPr>
      <w:r>
        <w:t xml:space="preserve">Exceptions to this guideline </w:t>
      </w:r>
      <w:r>
        <w:rPr>
          <w:b/>
        </w:rPr>
        <w:t>must be</w:t>
      </w:r>
      <w:r>
        <w:t xml:space="preserve"> documented with justification based on project software requirements.</w:t>
      </w:r>
    </w:p>
    <w:p w:rsidR="0051720A" w:rsidRDefault="0086160A">
      <w:pPr>
        <w:pStyle w:val="Heading3"/>
      </w:pPr>
      <w:bookmarkStart w:id="3" w:name="examples-of-testing-frameworks"/>
      <w:bookmarkEnd w:id="3"/>
      <w:r>
        <w:t>Examples of Testing Frameworks</w:t>
      </w:r>
    </w:p>
    <w:p w:rsidR="0051720A" w:rsidRDefault="0086160A">
      <w:pPr>
        <w:pStyle w:val="Compact"/>
        <w:numPr>
          <w:ilvl w:val="0"/>
          <w:numId w:val="3"/>
        </w:numPr>
      </w:pPr>
      <w:r>
        <w:t xml:space="preserve">The </w:t>
      </w:r>
      <w:hyperlink r:id="rId15">
        <w:r>
          <w:rPr>
            <w:rStyle w:val="Hyperlink"/>
          </w:rPr>
          <w:t>.NET</w:t>
        </w:r>
      </w:hyperlink>
      <w:r>
        <w:t xml:space="preserve"> platform has </w:t>
      </w:r>
      <w:hyperlink r:id="rId16">
        <w:r>
          <w:rPr>
            <w:rStyle w:val="Hyperlink"/>
          </w:rPr>
          <w:t>Visual Studio Unit Testing Framework</w:t>
        </w:r>
      </w:hyperlink>
      <w:r>
        <w:t xml:space="preserve">, </w:t>
      </w:r>
      <w:hyperlink r:id="rId17">
        <w:r>
          <w:rPr>
            <w:rStyle w:val="Hyperlink"/>
          </w:rPr>
          <w:t>NUnit</w:t>
        </w:r>
      </w:hyperlink>
      <w:r>
        <w:t xml:space="preserve">, </w:t>
      </w:r>
      <w:hyperlink r:id="rId18">
        <w:r>
          <w:rPr>
            <w:rStyle w:val="Hyperlink"/>
          </w:rPr>
          <w:t>xUnit.net</w:t>
        </w:r>
      </w:hyperlink>
      <w:r>
        <w:t>, and others.</w:t>
      </w:r>
    </w:p>
    <w:p w:rsidR="0051720A" w:rsidRDefault="0086160A">
      <w:pPr>
        <w:pStyle w:val="Compact"/>
        <w:numPr>
          <w:ilvl w:val="0"/>
          <w:numId w:val="4"/>
        </w:numPr>
      </w:pPr>
      <w:r>
        <w:t xml:space="preserve">The </w:t>
      </w:r>
      <w:hyperlink r:id="rId19">
        <w:r>
          <w:rPr>
            <w:rStyle w:val="Hyperlink"/>
          </w:rPr>
          <w:t>MATLAB</w:t>
        </w:r>
      </w:hyperlink>
      <w:r>
        <w:t xml:space="preserve"> platform has </w:t>
      </w:r>
      <w:hyperlink r:id="rId20">
        <w:r>
          <w:rPr>
            <w:rStyle w:val="Hyperlink"/>
          </w:rPr>
          <w:t>several built-in options</w:t>
        </w:r>
      </w:hyperlink>
      <w:r>
        <w:t>.</w:t>
      </w:r>
    </w:p>
    <w:p w:rsidR="0051720A" w:rsidRDefault="0086160A">
      <w:pPr>
        <w:pStyle w:val="Heading2"/>
      </w:pPr>
      <w:bookmarkStart w:id="4" w:name="reusable-packaging-of-deliverable-softwa"/>
      <w:bookmarkEnd w:id="4"/>
      <w:r>
        <w:t>Reusable Packaging of Deliverable Software Functionality</w:t>
      </w:r>
    </w:p>
    <w:p w:rsidR="0051720A" w:rsidRDefault="0086160A">
      <w:pPr>
        <w:pStyle w:val="Heading3"/>
      </w:pPr>
      <w:bookmarkStart w:id="5" w:name="context-of-guideline"/>
      <w:bookmarkEnd w:id="5"/>
      <w:r>
        <w:t>Context of Guideline</w:t>
      </w:r>
    </w:p>
    <w:p w:rsidR="0051720A" w:rsidRDefault="0086160A">
      <w:pPr>
        <w:pStyle w:val="FirstParagraph"/>
      </w:pPr>
      <w:r>
        <w:t>A functional software artifact may be categorized as an API, a CLI, or a GUI.</w:t>
      </w:r>
    </w:p>
    <w:p w:rsidR="0051720A" w:rsidRDefault="0086160A">
      <w:pPr>
        <w:pStyle w:val="BodyText"/>
      </w:pPr>
      <w:r>
        <w:t>APIs are essential to effective development of CLIs and GUIs as well as de</w:t>
      </w:r>
      <w:r>
        <w:t>velopment of other APIs. When designing and implementing software functionality, building a self-contained API for that functionality increases the quality of this and other software in the following ways:</w:t>
      </w:r>
    </w:p>
    <w:p w:rsidR="0051720A" w:rsidRDefault="0086160A">
      <w:pPr>
        <w:numPr>
          <w:ilvl w:val="0"/>
          <w:numId w:val="5"/>
        </w:numPr>
      </w:pPr>
      <w:r>
        <w:t>Providing an architectural firewall between the AP</w:t>
      </w:r>
      <w:r>
        <w:t>I and any dependent software interfaces (e.g. a CLI or a GUI) it may have in the current project.</w:t>
      </w:r>
    </w:p>
    <w:p w:rsidR="0051720A" w:rsidRDefault="0086160A">
      <w:pPr>
        <w:numPr>
          <w:ilvl w:val="0"/>
          <w:numId w:val="5"/>
        </w:numPr>
      </w:pPr>
      <w:r>
        <w:t>Providing an accessible starting point for development of related software functionality in future projects, without the necessity of refactoring or duplicati</w:t>
      </w:r>
      <w:r>
        <w:t>ng previous work.</w:t>
      </w:r>
    </w:p>
    <w:p w:rsidR="0051720A" w:rsidRDefault="0086160A">
      <w:pPr>
        <w:pStyle w:val="Heading3"/>
      </w:pPr>
      <w:bookmarkStart w:id="6" w:name="statement-of-guideline"/>
      <w:bookmarkEnd w:id="6"/>
      <w:r>
        <w:t>Statement of Guideline</w:t>
      </w:r>
    </w:p>
    <w:p w:rsidR="0051720A" w:rsidRDefault="0086160A">
      <w:pPr>
        <w:pStyle w:val="FirstParagraph"/>
      </w:pPr>
      <w:r>
        <w:t xml:space="preserve">Project software deliverables </w:t>
      </w:r>
      <w:r>
        <w:rPr>
          <w:b/>
        </w:rPr>
        <w:t>must include</w:t>
      </w:r>
      <w:r>
        <w:t xml:space="preserve"> a set of one or more reusable self-contained software packages that collectively provide documented APIs to all project software functionality.</w:t>
      </w:r>
    </w:p>
    <w:p w:rsidR="0051720A" w:rsidRDefault="0086160A">
      <w:pPr>
        <w:pStyle w:val="BodyText"/>
      </w:pPr>
      <w:r>
        <w:t>The following guidelines app</w:t>
      </w:r>
      <w:r>
        <w:t>ly to each software package deliverable:</w:t>
      </w:r>
    </w:p>
    <w:p w:rsidR="0051720A" w:rsidRDefault="0086160A">
      <w:pPr>
        <w:numPr>
          <w:ilvl w:val="0"/>
          <w:numId w:val="6"/>
        </w:numPr>
      </w:pPr>
      <w:r>
        <w:t xml:space="preserve">Accessing the software functionality provided by the package from derived software constructed using the </w:t>
      </w:r>
      <w:r>
        <w:rPr>
          <w:b/>
        </w:rPr>
        <w:t>same</w:t>
      </w:r>
      <w:r>
        <w:t xml:space="preserve"> platform(s) as the package </w:t>
      </w:r>
      <w:r>
        <w:rPr>
          <w:b/>
        </w:rPr>
        <w:t>must be</w:t>
      </w:r>
      <w:r>
        <w:t xml:space="preserve"> available via some standard import or referencing mechanism provided b</w:t>
      </w:r>
      <w:r>
        <w:t>y the packaging toolchain.</w:t>
      </w:r>
    </w:p>
    <w:p w:rsidR="0051720A" w:rsidRDefault="0086160A">
      <w:pPr>
        <w:numPr>
          <w:ilvl w:val="0"/>
          <w:numId w:val="6"/>
        </w:numPr>
      </w:pPr>
      <w:r>
        <w:t xml:space="preserve">Accessing the software functionality provided by the package from secondary software constructed using a </w:t>
      </w:r>
      <w:r>
        <w:rPr>
          <w:b/>
        </w:rPr>
        <w:t>different</w:t>
      </w:r>
      <w:r>
        <w:t xml:space="preserve"> platform(s) from the package </w:t>
      </w:r>
      <w:r>
        <w:rPr>
          <w:b/>
        </w:rPr>
        <w:t>should be</w:t>
      </w:r>
      <w:r>
        <w:t xml:space="preserve"> available via some standard mechanism, e.g. inter-process JSON streaming ov</w:t>
      </w:r>
      <w:r>
        <w:t xml:space="preserve">er standard I/O. </w:t>
      </w:r>
      <w:r>
        <w:rPr>
          <w:i/>
        </w:rPr>
        <w:t>A separate artifact (complementary to the package, such as a stand-alone executable built from the same components) may be delivered to satisfy this guideline.</w:t>
      </w:r>
    </w:p>
    <w:p w:rsidR="0051720A" w:rsidRDefault="0086160A">
      <w:pPr>
        <w:numPr>
          <w:ilvl w:val="0"/>
          <w:numId w:val="6"/>
        </w:numPr>
      </w:pPr>
      <w:r>
        <w:t>A build configuration or CLI script providing an automatic method of regenerati</w:t>
      </w:r>
      <w:r>
        <w:t xml:space="preserve">ng the package from the software source file(s) and any associated package specification file(s) </w:t>
      </w:r>
      <w:r>
        <w:rPr>
          <w:b/>
        </w:rPr>
        <w:t>must be</w:t>
      </w:r>
      <w:r>
        <w:t xml:space="preserve"> included alongside the package.</w:t>
      </w:r>
    </w:p>
    <w:p w:rsidR="0051720A" w:rsidRDefault="0086160A">
      <w:pPr>
        <w:numPr>
          <w:ilvl w:val="0"/>
          <w:numId w:val="6"/>
        </w:numPr>
      </w:pPr>
      <w:r>
        <w:t xml:space="preserve">Documentation describing how to use the package within secondary software </w:t>
      </w:r>
      <w:r>
        <w:rPr>
          <w:b/>
        </w:rPr>
        <w:t>must be</w:t>
      </w:r>
      <w:r>
        <w:t xml:space="preserve"> included alongside the package.</w:t>
      </w:r>
    </w:p>
    <w:p w:rsidR="0051720A" w:rsidRDefault="0086160A">
      <w:pPr>
        <w:pStyle w:val="Heading3"/>
      </w:pPr>
      <w:bookmarkStart w:id="7" w:name="examples-of-packaging-toolchains"/>
      <w:bookmarkEnd w:id="7"/>
      <w:r>
        <w:t>Examp</w:t>
      </w:r>
      <w:r>
        <w:t>les of Packaging Toolchains</w:t>
      </w:r>
    </w:p>
    <w:p w:rsidR="0051720A" w:rsidRDefault="0086160A">
      <w:pPr>
        <w:pStyle w:val="Compact"/>
        <w:numPr>
          <w:ilvl w:val="0"/>
          <w:numId w:val="7"/>
        </w:numPr>
      </w:pPr>
      <w:r>
        <w:t xml:space="preserve">If </w:t>
      </w:r>
      <w:hyperlink r:id="rId21">
        <w:r>
          <w:rPr>
            <w:rStyle w:val="Hyperlink"/>
          </w:rPr>
          <w:t>.NET</w:t>
        </w:r>
      </w:hyperlink>
      <w:r>
        <w:t xml:space="preserve"> is a platform chosen for constructing a project's software, then the project deliverables may include one or more </w:t>
      </w:r>
      <w:hyperlink r:id="rId22">
        <w:r>
          <w:rPr>
            <w:rStyle w:val="Hyperlink"/>
          </w:rPr>
          <w:t>NuGet</w:t>
        </w:r>
      </w:hyperlink>
      <w:r>
        <w:t xml:space="preserve"> package</w:t>
      </w:r>
      <w:r>
        <w:t>s. Each package would contain all non-executable assemblies sufficient to provide a coherent API to one or more aspects of deliverable software functionality. (Each package could also be complemented by a CLI artifact exposing the package's API via some do</w:t>
      </w:r>
      <w:r>
        <w:t>cumented convention, so that the API might be more easily accessible to software of different platforms.) All delivered packages would together provide an API to all deliverable software functionality. Each package's API would be documented via an XML file</w:t>
      </w:r>
      <w:r>
        <w:t xml:space="preserve"> automatically generated from XML-formatted comments embedded in the source code. (This XML file provides the data required by code-editing programs to offer </w:t>
      </w:r>
      <w:hyperlink r:id="rId23">
        <w:r>
          <w:rPr>
            <w:rStyle w:val="Hyperlink"/>
          </w:rPr>
          <w:t>intelligent code comp</w:t>
        </w:r>
        <w:r>
          <w:rPr>
            <w:rStyle w:val="Hyperlink"/>
          </w:rPr>
          <w:t>letion</w:t>
        </w:r>
      </w:hyperlink>
      <w:r>
        <w:t xml:space="preserve"> features.)</w:t>
      </w:r>
    </w:p>
    <w:p w:rsidR="0051720A" w:rsidRDefault="0086160A">
      <w:pPr>
        <w:pStyle w:val="FirstParagraph"/>
      </w:pPr>
      <w:r>
        <w:t xml:space="preserve">This set of packages would be accompanied by a stand-alone, human-readable, richly formatted, and internally hyperlinked document that describes the total API surface. (For the .NET platform, an artifact of this type can be automatically </w:t>
      </w:r>
      <w:r>
        <w:t xml:space="preserve">generated using </w:t>
      </w:r>
      <w:hyperlink r:id="rId24">
        <w:r>
          <w:rPr>
            <w:rStyle w:val="Hyperlink"/>
          </w:rPr>
          <w:t>Sandcastle Help File Builder</w:t>
        </w:r>
      </w:hyperlink>
      <w:r>
        <w:t>.)</w:t>
      </w:r>
    </w:p>
    <w:p w:rsidR="0051720A" w:rsidRDefault="0086160A">
      <w:pPr>
        <w:pStyle w:val="Compact"/>
        <w:numPr>
          <w:ilvl w:val="0"/>
          <w:numId w:val="8"/>
        </w:numPr>
      </w:pPr>
      <w:r>
        <w:t xml:space="preserve">If </w:t>
      </w:r>
      <w:hyperlink r:id="rId25">
        <w:r>
          <w:rPr>
            <w:rStyle w:val="Hyperlink"/>
          </w:rPr>
          <w:t>MATLAB</w:t>
        </w:r>
      </w:hyperlink>
      <w:r>
        <w:t xml:space="preserve"> </w:t>
      </w:r>
      <w:r>
        <w:t xml:space="preserve">is a platform chosen for constructing a project's software, then the project deliverables may include one or more </w:t>
      </w:r>
      <w:hyperlink r:id="rId26">
        <w:r>
          <w:rPr>
            <w:rStyle w:val="Hyperlink"/>
          </w:rPr>
          <w:t>MATLAB Compiler SDK</w:t>
        </w:r>
      </w:hyperlink>
      <w:r>
        <w:t>-based artifacts. Such an artifact could be a sta</w:t>
      </w:r>
      <w:r>
        <w:t>nd-alone executable accepting input and providing output via inter-process JSON-streaming over standard I/O.</w:t>
      </w:r>
    </w:p>
    <w:p w:rsidR="0051720A" w:rsidRDefault="0086160A">
      <w:pPr>
        <w:pStyle w:val="Heading2"/>
      </w:pPr>
      <w:bookmarkStart w:id="8" w:name="choosing-software-platforms-by-accessibi"/>
      <w:bookmarkEnd w:id="8"/>
      <w:r>
        <w:t>Choosing Software Platforms by Accessibility and System-Independence</w:t>
      </w:r>
    </w:p>
    <w:p w:rsidR="0051720A" w:rsidRDefault="0086160A">
      <w:pPr>
        <w:pStyle w:val="FirstParagraph"/>
      </w:pPr>
      <w:r>
        <w:t>A software platform chosen for the construction of project software functional</w:t>
      </w:r>
      <w:r>
        <w:t xml:space="preserve">ity </w:t>
      </w:r>
      <w:r>
        <w:rPr>
          <w:b/>
        </w:rPr>
        <w:t>should be</w:t>
      </w:r>
      <w:r>
        <w:t xml:space="preserve"> accessible and system-independent. If this guideline is not followed, this fact </w:t>
      </w:r>
      <w:r>
        <w:rPr>
          <w:b/>
        </w:rPr>
        <w:t>must be</w:t>
      </w:r>
      <w:r>
        <w:t xml:space="preserve"> documented and justified by project software requirements.</w:t>
      </w:r>
    </w:p>
    <w:p w:rsidR="0051720A" w:rsidRDefault="0086160A">
      <w:pPr>
        <w:pStyle w:val="Heading3"/>
      </w:pPr>
      <w:bookmarkStart w:id="9" w:name="accessibility"/>
      <w:bookmarkEnd w:id="9"/>
      <w:r>
        <w:t>Accessibility</w:t>
      </w:r>
    </w:p>
    <w:p w:rsidR="0051720A" w:rsidRDefault="0086160A">
      <w:pPr>
        <w:pStyle w:val="FirstParagraph"/>
      </w:pPr>
      <w:r>
        <w:t>A software platform is accessible in this context if the tools, practices, and re</w:t>
      </w:r>
      <w:r>
        <w:t>quired skills of the platform do not require extensive training from a software engineering perspective.</w:t>
      </w:r>
    </w:p>
    <w:p w:rsidR="0051720A" w:rsidRDefault="0086160A">
      <w:pPr>
        <w:pStyle w:val="BodyText"/>
      </w:pPr>
      <w:hyperlink r:id="rId27">
        <w:r>
          <w:rPr>
            <w:rStyle w:val="Hyperlink"/>
          </w:rPr>
          <w:t>C++</w:t>
        </w:r>
      </w:hyperlink>
      <w:r>
        <w:t xml:space="preserve"> is a well-known example of a software programming language requiring extensive professional training to</w:t>
      </w:r>
      <w:r>
        <w:t xml:space="preserve"> use safely and further advanced training to use effectively. Conversely, </w:t>
      </w:r>
      <w:hyperlink r:id="rId28">
        <w:r>
          <w:rPr>
            <w:rStyle w:val="Hyperlink"/>
          </w:rPr>
          <w:t>Python</w:t>
        </w:r>
      </w:hyperlink>
      <w:r>
        <w:t xml:space="preserve"> is a well-known example of a software programming language requiring minimal software engineering-specific knowledge to use safely a</w:t>
      </w:r>
      <w:r>
        <w:t xml:space="preserve">nd effectively. (Between these two languages, C++ tends to be used more often to construct lower-level </w:t>
      </w:r>
      <w:hyperlink r:id="rId29">
        <w:r>
          <w:rPr>
            <w:rStyle w:val="Hyperlink"/>
          </w:rPr>
          <w:t>system software</w:t>
        </w:r>
      </w:hyperlink>
      <w:r>
        <w:t xml:space="preserve">, and Python tends to be used more often to construct higher-level </w:t>
      </w:r>
      <w:hyperlink r:id="rId30">
        <w:r>
          <w:rPr>
            <w:rStyle w:val="Hyperlink"/>
          </w:rPr>
          <w:t>application software</w:t>
        </w:r>
      </w:hyperlink>
      <w:r>
        <w:t>.)</w:t>
      </w:r>
    </w:p>
    <w:p w:rsidR="0051720A" w:rsidRDefault="0086160A">
      <w:pPr>
        <w:pStyle w:val="Heading3"/>
      </w:pPr>
      <w:bookmarkStart w:id="10" w:name="system-independence"/>
      <w:bookmarkEnd w:id="10"/>
      <w:r>
        <w:t>System-Independence</w:t>
      </w:r>
    </w:p>
    <w:p w:rsidR="0051720A" w:rsidRDefault="0086160A">
      <w:pPr>
        <w:pStyle w:val="FirstParagraph"/>
      </w:pPr>
      <w:r>
        <w:t>A software platform is system-independent in this context if the software artifacts constructed using the platform do not require system-specific lib</w:t>
      </w:r>
      <w:r>
        <w:t>raries in order to load or run.</w:t>
      </w:r>
    </w:p>
    <w:p w:rsidR="0051720A" w:rsidRDefault="0086160A">
      <w:pPr>
        <w:pStyle w:val="BodyText"/>
      </w:pPr>
      <w:r>
        <w:t>For example, if a project's software is required to perform custom image processing, then it is generally better to construct the software in a way that avoids a dependency on a system-specific image processing API and instead takes a dependency on a cross</w:t>
      </w:r>
      <w:r>
        <w:t>-platform image processing API package (the referencing and import of which is managed by a packaging toolchain).</w:t>
      </w:r>
    </w:p>
    <w:p w:rsidR="0051720A" w:rsidRDefault="0086160A">
      <w:pPr>
        <w:pStyle w:val="BodyText"/>
      </w:pPr>
      <w:r>
        <w:t>Exceptions to the rule are possible. For example, if an embedded system's vendor provides an image processing API that takes advantage of uniq</w:t>
      </w:r>
      <w:r>
        <w:t>ue vendor hardware capabilities, then it may be better to use that API over a generic cross-platform API. Regardless, it is essential that system-independence is sought for as much of a project's artifacts as is reasonable.</w:t>
      </w:r>
    </w:p>
    <w:p w:rsidR="0051720A" w:rsidRDefault="0086160A">
      <w:pPr>
        <w:pStyle w:val="BodyText"/>
      </w:pPr>
      <w:r>
        <w:t>Finally, note that although most</w:t>
      </w:r>
      <w:r>
        <w:t xml:space="preserve"> software platforms are technically system-independent, the ease with which system-independent artifacts can be reproducibly configured and constructed varies widely by platform.</w:t>
      </w:r>
    </w:p>
    <w:p w:rsidR="0051720A" w:rsidRDefault="0086160A">
      <w:pPr>
        <w:pStyle w:val="Heading2"/>
      </w:pPr>
      <w:bookmarkStart w:id="11" w:name="python-as-a-recommended-standard-platfor"/>
      <w:bookmarkEnd w:id="11"/>
      <w:r>
        <w:t>Python as a Recommended Standard Platform for Project Software Construction</w:t>
      </w:r>
    </w:p>
    <w:p w:rsidR="0051720A" w:rsidRDefault="0086160A">
      <w:pPr>
        <w:pStyle w:val="BlockText"/>
      </w:pPr>
      <w:hyperlink r:id="rId31">
        <w:r>
          <w:rPr>
            <w:rStyle w:val="Hyperlink"/>
          </w:rPr>
          <w:t>Python</w:t>
        </w:r>
      </w:hyperlink>
      <w:r>
        <w:t xml:space="preserve"> is powerful... and fast; plays well with others; runs everywhere; is friendly &amp; easy to learn; is Open.</w:t>
      </w:r>
    </w:p>
    <w:p w:rsidR="0051720A" w:rsidRDefault="0086160A">
      <w:pPr>
        <w:pStyle w:val="FirstParagraph"/>
      </w:pPr>
      <w:r>
        <w:t xml:space="preserve">For an executive-level summary and contextual overview of Python, refer to the </w:t>
      </w:r>
      <w:hyperlink r:id="rId32">
        <w:r>
          <w:rPr>
            <w:rStyle w:val="Hyperlink"/>
          </w:rPr>
          <w:t>Python Brochure</w:t>
        </w:r>
      </w:hyperlink>
      <w:r>
        <w:t xml:space="preserve"> (authored by the </w:t>
      </w:r>
      <w:hyperlink r:id="rId33">
        <w:r>
          <w:rPr>
            <w:rStyle w:val="Hyperlink"/>
          </w:rPr>
          <w:t>Python Software Foundation</w:t>
        </w:r>
      </w:hyperlink>
      <w:r>
        <w:t>).</w:t>
      </w:r>
    </w:p>
    <w:p w:rsidR="0051720A" w:rsidRDefault="0086160A">
      <w:pPr>
        <w:pStyle w:val="BodyText"/>
      </w:pPr>
      <w:r>
        <w:t>For a brief overview and examples of how Python can be used to modernize l</w:t>
      </w:r>
      <w:r>
        <w:t xml:space="preserve">egacy Fortran &amp; C/C++ codebases while minimizing churn in those codebases, refer to the </w:t>
      </w:r>
      <w:hyperlink r:id="rId34">
        <w:r>
          <w:rPr>
            <w:rStyle w:val="Hyperlink"/>
          </w:rPr>
          <w:t>"Bringing Legacy Code to Life with Anaconda" webinar video</w:t>
        </w:r>
      </w:hyperlink>
      <w:r>
        <w:t xml:space="preserve"> by Continuum Analytics. (</w:t>
      </w:r>
      <w:hyperlink r:id="rId35">
        <w:r>
          <w:rPr>
            <w:rStyle w:val="Hyperlink"/>
          </w:rPr>
          <w:t>slides</w:t>
        </w:r>
      </w:hyperlink>
      <w:r>
        <w:t xml:space="preserve">; </w:t>
      </w:r>
      <w:hyperlink r:id="rId36">
        <w:r>
          <w:rPr>
            <w:rStyle w:val="Hyperlink"/>
          </w:rPr>
          <w:t>example code</w:t>
        </w:r>
      </w:hyperlink>
      <w:r>
        <w:t>)</w:t>
      </w:r>
    </w:p>
    <w:sectPr w:rsidR="0051720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160A" w:rsidRDefault="0086160A">
      <w:pPr>
        <w:spacing w:after="0"/>
      </w:pPr>
      <w:r>
        <w:separator/>
      </w:r>
    </w:p>
  </w:endnote>
  <w:endnote w:type="continuationSeparator" w:id="0">
    <w:p w:rsidR="0086160A" w:rsidRDefault="008616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160A" w:rsidRDefault="0086160A">
      <w:r>
        <w:separator/>
      </w:r>
    </w:p>
  </w:footnote>
  <w:footnote w:type="continuationSeparator" w:id="0">
    <w:p w:rsidR="0086160A" w:rsidRDefault="00861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943D98D"/>
    <w:multiLevelType w:val="multilevel"/>
    <w:tmpl w:val="1178884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E17F69BA"/>
    <w:multiLevelType w:val="multilevel"/>
    <w:tmpl w:val="31C8355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69E3F330"/>
    <w:multiLevelType w:val="multilevel"/>
    <w:tmpl w:val="6FD4B5EE"/>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num w:numId="1">
    <w:abstractNumId w:val="1"/>
  </w:num>
  <w:num w:numId="2">
    <w:abstractNumId w:val="0"/>
  </w:num>
  <w:num w:numId="3">
    <w:abstractNumId w:val="2"/>
  </w:num>
  <w:num w:numId="4">
    <w:abstractNumId w:val="2"/>
  </w:num>
  <w:num w:numId="5">
    <w:abstractNumId w:val="2"/>
  </w:num>
  <w:num w:numId="6">
    <w:abstractNumId w:val="2"/>
  </w:num>
  <w:num w:numId="7">
    <w:abstractNumId w:val="2"/>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4E29B3"/>
    <w:rsid w:val="004F6371"/>
    <w:rsid w:val="0051720A"/>
    <w:rsid w:val="00590D07"/>
    <w:rsid w:val="00784D58"/>
    <w:rsid w:val="0086160A"/>
    <w:rsid w:val="008D6863"/>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3AF390"/>
  <w15:docId w15:val="{85E11C8A-A9C3-462E-A90A-C84225A7B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ommand-line_interface" TargetMode="External"/><Relationship Id="rId13" Type="http://schemas.openxmlformats.org/officeDocument/2006/relationships/hyperlink" Target="https://en.wikipedia.org/wiki/Standard_streams" TargetMode="External"/><Relationship Id="rId18" Type="http://schemas.openxmlformats.org/officeDocument/2006/relationships/hyperlink" Target="https://xunit.github.io/" TargetMode="External"/><Relationship Id="rId26" Type="http://schemas.openxmlformats.org/officeDocument/2006/relationships/hyperlink" Target="https://www.mathworks.com/help/compiler_sdk/index.html" TargetMode="External"/><Relationship Id="rId3" Type="http://schemas.openxmlformats.org/officeDocument/2006/relationships/settings" Target="settings.xml"/><Relationship Id="rId21" Type="http://schemas.openxmlformats.org/officeDocument/2006/relationships/hyperlink" Target="https://www.microsoft.com/net/" TargetMode="External"/><Relationship Id="rId34" Type="http://schemas.openxmlformats.org/officeDocument/2006/relationships/hyperlink" Target="https://continuum-analytics.wistia.com/medias/e3jhsji6tl" TargetMode="External"/><Relationship Id="rId7" Type="http://schemas.openxmlformats.org/officeDocument/2006/relationships/hyperlink" Target="https://en.wikipedia.org/wiki/Application_programming_interface" TargetMode="External"/><Relationship Id="rId12" Type="http://schemas.openxmlformats.org/officeDocument/2006/relationships/hyperlink" Target="https://en.wikipedia.org/wiki/Software_development_kit" TargetMode="External"/><Relationship Id="rId17" Type="http://schemas.openxmlformats.org/officeDocument/2006/relationships/hyperlink" Target="http://nunit.org/" TargetMode="External"/><Relationship Id="rId25" Type="http://schemas.openxmlformats.org/officeDocument/2006/relationships/hyperlink" Target="https://www.mathworks.com/products/matlab/index.html" TargetMode="External"/><Relationship Id="rId33" Type="http://schemas.openxmlformats.org/officeDocument/2006/relationships/hyperlink" Target="https://www.python.org/psf-landing/"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sdn.microsoft.com/en-us/library/ms243147(v=vs.90).aspx" TargetMode="External"/><Relationship Id="rId20" Type="http://schemas.openxmlformats.org/officeDocument/2006/relationships/hyperlink" Target="https://www.mathworks.com/help/matlab/matlab-unit-test-framework.html" TargetMode="External"/><Relationship Id="rId29" Type="http://schemas.openxmlformats.org/officeDocument/2006/relationships/hyperlink" Target="https://en.wikipedia.org/wiki/System_softwa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JSON" TargetMode="External"/><Relationship Id="rId24" Type="http://schemas.openxmlformats.org/officeDocument/2006/relationships/hyperlink" Target="http://ewsoftware.github.io/SHFB/html/bd1ddb51-1c4f-434f-bb1a-ce2135d3a909.htm" TargetMode="External"/><Relationship Id="rId32" Type="http://schemas.openxmlformats.org/officeDocument/2006/relationships/hyperlink" Target="http://brochure.getpython.info/media/releases/python-brochure-current"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microsoft.com/net/" TargetMode="External"/><Relationship Id="rId23" Type="http://schemas.openxmlformats.org/officeDocument/2006/relationships/hyperlink" Target="https://en.wikipedia.org/wiki/Intelligent_code_completion" TargetMode="External"/><Relationship Id="rId28" Type="http://schemas.openxmlformats.org/officeDocument/2006/relationships/hyperlink" Target="https://www.python.org/" TargetMode="External"/><Relationship Id="rId36" Type="http://schemas.openxmlformats.org/officeDocument/2006/relationships/hyperlink" Target="https://github.com/ContinuumIO/legacy_code_examples" TargetMode="External"/><Relationship Id="rId10" Type="http://schemas.openxmlformats.org/officeDocument/2006/relationships/hyperlink" Target="https://en.wikipedia.org/wiki/Integrated_development_environment" TargetMode="External"/><Relationship Id="rId19" Type="http://schemas.openxmlformats.org/officeDocument/2006/relationships/hyperlink" Target="https://www.mathworks.com/products/matlab/index.html" TargetMode="External"/><Relationship Id="rId31" Type="http://schemas.openxmlformats.org/officeDocument/2006/relationships/hyperlink" Target="https://www.python.org/" TargetMode="External"/><Relationship Id="rId4" Type="http://schemas.openxmlformats.org/officeDocument/2006/relationships/webSettings" Target="webSettings.xml"/><Relationship Id="rId9" Type="http://schemas.openxmlformats.org/officeDocument/2006/relationships/hyperlink" Target="https://en.wikipedia.org/wiki/Graphical_user_interface" TargetMode="External"/><Relationship Id="rId14" Type="http://schemas.openxmlformats.org/officeDocument/2006/relationships/hyperlink" Target="https://en.wikipedia.org/wiki/README" TargetMode="External"/><Relationship Id="rId22" Type="http://schemas.openxmlformats.org/officeDocument/2006/relationships/hyperlink" Target="https://docs.nuget.org/" TargetMode="External"/><Relationship Id="rId27" Type="http://schemas.openxmlformats.org/officeDocument/2006/relationships/hyperlink" Target="https://isocpp.org/about" TargetMode="External"/><Relationship Id="rId30" Type="http://schemas.openxmlformats.org/officeDocument/2006/relationships/hyperlink" Target="https://en.wikipedia.org/wiki/Application_software" TargetMode="External"/><Relationship Id="rId35" Type="http://schemas.openxmlformats.org/officeDocument/2006/relationships/hyperlink" Target="http://www.slideshare.net/continuumio/bring-new-life-to-legacy-code-with-anacon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1468</Words>
  <Characters>8370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2017-03-15T15:57:00Z</dcterms:created>
  <dcterms:modified xsi:type="dcterms:W3CDTF">2017-03-15T15:57:00Z</dcterms:modified>
</cp:coreProperties>
</file>