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8B4C3" w14:textId="77777777" w:rsidR="004B60D1" w:rsidRPr="004B60D1" w:rsidRDefault="004B60D1" w:rsidP="00F067D4">
      <w:pPr>
        <w:pStyle w:val="Heading2"/>
        <w:jc w:val="center"/>
        <w:rPr>
          <w:b w:val="0"/>
          <w:sz w:val="24"/>
          <w:szCs w:val="24"/>
        </w:rPr>
      </w:pPr>
      <w:bookmarkStart w:id="0" w:name="_Toc421729508"/>
      <w:bookmarkStart w:id="1" w:name="_GoBack"/>
      <w:bookmarkEnd w:id="1"/>
      <w:r w:rsidRPr="004B60D1">
        <w:rPr>
          <w:b w:val="0"/>
          <w:sz w:val="24"/>
          <w:szCs w:val="24"/>
        </w:rPr>
        <w:t>Enhancements to</w:t>
      </w:r>
      <w:r>
        <w:rPr>
          <w:b w:val="0"/>
          <w:sz w:val="24"/>
          <w:szCs w:val="24"/>
        </w:rPr>
        <w:t xml:space="preserve"> the</w:t>
      </w:r>
      <w:r w:rsidRPr="004B60D1">
        <w:rPr>
          <w:b w:val="0"/>
          <w:sz w:val="24"/>
          <w:szCs w:val="24"/>
        </w:rPr>
        <w:t xml:space="preserve"> </w:t>
      </w:r>
      <w:r w:rsidR="00F067D4" w:rsidRPr="004B60D1">
        <w:rPr>
          <w:b w:val="0"/>
          <w:sz w:val="24"/>
          <w:szCs w:val="24"/>
        </w:rPr>
        <w:t>Mechanistic-Empirical Pavement Design Guide</w:t>
      </w:r>
      <w:r w:rsidRPr="004B60D1">
        <w:rPr>
          <w:b w:val="0"/>
          <w:sz w:val="24"/>
          <w:szCs w:val="24"/>
        </w:rPr>
        <w:t>:</w:t>
      </w:r>
    </w:p>
    <w:p w14:paraId="761B8669" w14:textId="77777777" w:rsidR="00F067D4" w:rsidRPr="004B60D1" w:rsidRDefault="00F067D4" w:rsidP="00F067D4">
      <w:pPr>
        <w:pStyle w:val="Heading2"/>
        <w:jc w:val="center"/>
        <w:rPr>
          <w:b w:val="0"/>
          <w:sz w:val="24"/>
          <w:szCs w:val="24"/>
        </w:rPr>
      </w:pPr>
      <w:r w:rsidRPr="004B60D1">
        <w:rPr>
          <w:b w:val="0"/>
          <w:sz w:val="24"/>
          <w:szCs w:val="24"/>
        </w:rPr>
        <w:t>A Manual of Practice, July 20</w:t>
      </w:r>
      <w:r w:rsidR="00EC1FA6">
        <w:rPr>
          <w:b w:val="0"/>
          <w:sz w:val="24"/>
          <w:szCs w:val="24"/>
        </w:rPr>
        <w:t>15</w:t>
      </w:r>
      <w:r w:rsidRPr="004B60D1">
        <w:rPr>
          <w:b w:val="0"/>
          <w:sz w:val="24"/>
          <w:szCs w:val="24"/>
        </w:rPr>
        <w:t xml:space="preserve"> Interim Edition</w:t>
      </w:r>
    </w:p>
    <w:p w14:paraId="190067BA" w14:textId="77777777" w:rsidR="004B60D1" w:rsidRPr="004B60D1" w:rsidRDefault="0013302B" w:rsidP="0078355B">
      <w:pPr>
        <w:pStyle w:val="Heading2"/>
        <w:rPr>
          <w:b w:val="0"/>
          <w:sz w:val="24"/>
          <w:szCs w:val="24"/>
        </w:rPr>
      </w:pPr>
      <w:r>
        <w:rPr>
          <w:b w:val="0"/>
          <w:noProof/>
          <w:sz w:val="24"/>
          <w:szCs w:val="24"/>
        </w:rPr>
        <mc:AlternateContent>
          <mc:Choice Requires="wps">
            <w:drawing>
              <wp:anchor distT="0" distB="0" distL="114300" distR="114300" simplePos="0" relativeHeight="251659264" behindDoc="0" locked="0" layoutInCell="1" allowOverlap="1" wp14:anchorId="2CCE1431" wp14:editId="78E96E25">
                <wp:simplePos x="0" y="0"/>
                <wp:positionH relativeFrom="column">
                  <wp:posOffset>-10160</wp:posOffset>
                </wp:positionH>
                <wp:positionV relativeFrom="paragraph">
                  <wp:posOffset>104937</wp:posOffset>
                </wp:positionV>
                <wp:extent cx="6092190" cy="0"/>
                <wp:effectExtent l="57150" t="38100" r="41910" b="95250"/>
                <wp:wrapNone/>
                <wp:docPr id="1" name="Straight Connector 1"/>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4979BB7B"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8.25pt" to="478.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" strokecolor="#4f81bd [3204]" strokeweight="3pt">
                <v:shadow on="t" color="black" opacity="22937f" origin=",.5" offset="0,.63889mm"/>
              </v:line>
            </w:pict>
          </mc:Fallback>
        </mc:AlternateContent>
      </w:r>
    </w:p>
    <w:p w14:paraId="3F980E88" w14:textId="5B8AE705" w:rsidR="0078355B" w:rsidRDefault="0078355B" w:rsidP="0078355B">
      <w:pPr>
        <w:pStyle w:val="Heading2"/>
        <w:rPr>
          <w:sz w:val="24"/>
          <w:szCs w:val="24"/>
        </w:rPr>
      </w:pPr>
      <w:r>
        <w:rPr>
          <w:sz w:val="24"/>
          <w:szCs w:val="24"/>
        </w:rPr>
        <w:t>Addendum Number:</w:t>
      </w:r>
      <w:r>
        <w:rPr>
          <w:sz w:val="24"/>
          <w:szCs w:val="24"/>
        </w:rPr>
        <w:tab/>
        <w:t>FY201</w:t>
      </w:r>
      <w:r w:rsidR="00EC1FA6">
        <w:rPr>
          <w:sz w:val="24"/>
          <w:szCs w:val="24"/>
        </w:rPr>
        <w:t>8</w:t>
      </w:r>
      <w:r>
        <w:rPr>
          <w:sz w:val="24"/>
          <w:szCs w:val="24"/>
        </w:rPr>
        <w:t>.</w:t>
      </w:r>
      <w:r w:rsidR="0088177D">
        <w:rPr>
          <w:sz w:val="24"/>
          <w:szCs w:val="24"/>
        </w:rPr>
        <w:t>3</w:t>
      </w:r>
    </w:p>
    <w:p w14:paraId="47724794" w14:textId="77777777" w:rsidR="00F067D4" w:rsidRDefault="0078355B" w:rsidP="0078355B">
      <w:pPr>
        <w:pStyle w:val="Heading2"/>
        <w:ind w:left="2880" w:hanging="2880"/>
        <w:rPr>
          <w:sz w:val="24"/>
          <w:szCs w:val="24"/>
        </w:rPr>
      </w:pPr>
      <w:r>
        <w:rPr>
          <w:sz w:val="24"/>
          <w:szCs w:val="24"/>
        </w:rPr>
        <w:t>Addendum Title:</w:t>
      </w:r>
      <w:r>
        <w:rPr>
          <w:sz w:val="24"/>
          <w:szCs w:val="24"/>
        </w:rPr>
        <w:tab/>
      </w:r>
      <w:r w:rsidR="00EC1FA6">
        <w:rPr>
          <w:sz w:val="24"/>
          <w:szCs w:val="24"/>
        </w:rPr>
        <w:t>Indirect Tensile Strength; Input Level 1</w:t>
      </w:r>
    </w:p>
    <w:p w14:paraId="0630E03F" w14:textId="77777777" w:rsidR="00F067D4" w:rsidRDefault="0078355B" w:rsidP="0078355B">
      <w:r>
        <w:t>Addendum Date:</w:t>
      </w:r>
      <w:r>
        <w:tab/>
      </w:r>
      <w:r>
        <w:tab/>
      </w:r>
      <w:r w:rsidR="00F067D4">
        <w:t>Ju</w:t>
      </w:r>
      <w:r w:rsidR="00EC1FA6">
        <w:t>ne</w:t>
      </w:r>
      <w:r w:rsidR="00F067D4">
        <w:t xml:space="preserve"> </w:t>
      </w:r>
      <w:r w:rsidR="00EC1FA6">
        <w:t>30</w:t>
      </w:r>
      <w:r w:rsidR="00F067D4">
        <w:t>, 201</w:t>
      </w:r>
      <w:r w:rsidR="00EC1FA6">
        <w:t>8</w:t>
      </w:r>
    </w:p>
    <w:p w14:paraId="1C177E72" w14:textId="77777777" w:rsidR="00F067D4" w:rsidRPr="00F067D4" w:rsidRDefault="00F067D4" w:rsidP="00F067D4"/>
    <w:p w14:paraId="2E67F908" w14:textId="1E23886F" w:rsidR="002E6E18" w:rsidRDefault="0013302B" w:rsidP="002E6E18">
      <w:pPr>
        <w:rPr>
          <w:rFonts w:cs="Arial"/>
          <w:szCs w:val="22"/>
        </w:rPr>
      </w:pPr>
      <w:r>
        <w:rPr>
          <w:b/>
          <w:noProof/>
          <w:sz w:val="24"/>
          <w:szCs w:val="24"/>
        </w:rPr>
        <mc:AlternateContent>
          <mc:Choice Requires="wps">
            <w:drawing>
              <wp:anchor distT="0" distB="0" distL="114300" distR="114300" simplePos="0" relativeHeight="251661312" behindDoc="0" locked="0" layoutInCell="1" allowOverlap="1" wp14:anchorId="2E337EAF" wp14:editId="088FDDC3">
                <wp:simplePos x="0" y="0"/>
                <wp:positionH relativeFrom="column">
                  <wp:posOffset>-40005</wp:posOffset>
                </wp:positionH>
                <wp:positionV relativeFrom="paragraph">
                  <wp:posOffset>635</wp:posOffset>
                </wp:positionV>
                <wp:extent cx="6092190" cy="0"/>
                <wp:effectExtent l="57150" t="38100" r="41910" b="95250"/>
                <wp:wrapNone/>
                <wp:docPr id="2" name="Straight Connector 2"/>
                <wp:cNvGraphicFramePr/>
                <a:graphic xmlns:a="http://schemas.openxmlformats.org/drawingml/2006/main">
                  <a:graphicData uri="http://schemas.microsoft.com/office/word/2010/wordprocessingShape">
                    <wps:wsp>
                      <wps:cNvCnPr/>
                      <wps:spPr>
                        <a:xfrm>
                          <a:off x="0" y="0"/>
                          <a:ext cx="609219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0FDE2BAD"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05pt" to="47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" strokecolor="#4f81bd [3204]" strokeweight="3pt">
                <v:shadow on="t" color="black" opacity="22937f" origin=",.5" offset="0,.63889mm"/>
              </v:line>
            </w:pict>
          </mc:Fallback>
        </mc:AlternateContent>
      </w:r>
    </w:p>
    <w:p w14:paraId="2D14AFE9" w14:textId="2460F4A3" w:rsidR="002E6E18" w:rsidRDefault="002E6E18" w:rsidP="002E6E18">
      <w:pPr>
        <w:rPr>
          <w:rFonts w:cs="Arial"/>
          <w:szCs w:val="22"/>
        </w:rPr>
      </w:pPr>
      <w:r>
        <w:rPr>
          <w:rFonts w:cs="Arial"/>
          <w:noProof/>
          <w:szCs w:val="22"/>
        </w:rPr>
        <mc:AlternateContent>
          <mc:Choice Requires="wps">
            <w:drawing>
              <wp:inline distT="0" distB="0" distL="0" distR="0" wp14:anchorId="3695D746" wp14:editId="2773B42D">
                <wp:extent cx="5915025" cy="5076825"/>
                <wp:effectExtent l="0" t="0" r="28575" b="28575"/>
                <wp:docPr id="3" name="Text Box 3"/>
                <wp:cNvGraphicFramePr/>
                <a:graphic xmlns:a="http://schemas.openxmlformats.org/drawingml/2006/main">
                  <a:graphicData uri="http://schemas.microsoft.com/office/word/2010/wordprocessingShape">
                    <wps:wsp>
                      <wps:cNvSpPr txBox="1"/>
                      <wps:spPr>
                        <a:xfrm>
                          <a:off x="0" y="0"/>
                          <a:ext cx="5915025" cy="5076825"/>
                        </a:xfrm>
                        <a:prstGeom prst="rect">
                          <a:avLst/>
                        </a:prstGeom>
                        <a:solidFill>
                          <a:schemeClr val="lt1"/>
                        </a:solidFill>
                        <a:ln w="6350">
                          <a:solidFill>
                            <a:prstClr val="black"/>
                          </a:solidFill>
                        </a:ln>
                      </wps:spPr>
                      <wps:txb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695D746" id="_x0000_t202" coordsize="21600,21600" o:spt="202" path="m,l,21600r21600,l21600,xe">
                <v:stroke joinstyle="miter"/>
                <v:path gradientshapeok="t" o:connecttype="rect"/>
              </v:shapetype>
              <v:shape id="Text Box 3" o:spid="_x0000_s1026" type="#_x0000_t202" style="width:465.75pt;height:3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" fillcolor="white [3201]" strokeweight=".5pt">
                <v:textbox>
                  <w:txbxContent>
                    <w:p w14:paraId="5B127BEC" w14:textId="20C77015" w:rsidR="002E6E18" w:rsidRPr="002E6E18" w:rsidRDefault="002E6E18" w:rsidP="002E6E18">
                      <w:pPr>
                        <w:pStyle w:val="Heading1"/>
                        <w:jc w:val="center"/>
                        <w:rPr>
                          <w:rFonts w:ascii="Arial" w:hAnsi="Arial" w:cs="Arial"/>
                          <w:sz w:val="22"/>
                          <w:szCs w:val="22"/>
                        </w:rPr>
                      </w:pPr>
                      <w:r>
                        <w:t>Disclaimer</w:t>
                      </w:r>
                    </w:p>
                    <w:p w14:paraId="6F28FEED" w14:textId="77777777" w:rsidR="002E6E18" w:rsidRPr="002E6E18" w:rsidRDefault="002E6E18" w:rsidP="002E6E18">
                      <w:pPr>
                        <w:rPr>
                          <w:rFonts w:cs="Arial"/>
                          <w:szCs w:val="22"/>
                        </w:rPr>
                      </w:pPr>
                      <w:r w:rsidRPr="002E6E18">
                        <w:rPr>
                          <w:rFonts w:cs="Arial"/>
                          <w:szCs w:val="22"/>
                        </w:rPr>
                        <w:t>General jurisdiction over the American Association of State Highway and Transportation Officials (referred to herein as the Association) design standards is a function of the Committee on Materials and Pavements, which has members representing each of the 50 States, the Commonwealths of Puerto Rico and the Northern Mariana Islands, the District of Columbia, the United States Department of Transportation, the New Jersey Turnpike Authority, the Massachusetts Metropolitan District Commission, the Port Authority of New York and New Jersey, six Canadian Provinces and two Territories. Revisions to the design standards are voted on by the Association Member Departments prior to the publication of each new edition, and if approved by at least two-thirds of the members, they are included in the new edition as a design standard of the Association.</w:t>
                      </w:r>
                    </w:p>
                    <w:p w14:paraId="12C8B40D" w14:textId="77777777" w:rsidR="002E6E18" w:rsidRPr="002E6E18" w:rsidRDefault="002E6E18" w:rsidP="002E6E18">
                      <w:pPr>
                        <w:rPr>
                          <w:rFonts w:cs="Arial"/>
                          <w:szCs w:val="22"/>
                        </w:rPr>
                      </w:pPr>
                    </w:p>
                    <w:p w14:paraId="38B00434" w14:textId="77777777" w:rsidR="002E6E18" w:rsidRPr="002E6E18" w:rsidRDefault="002E6E18" w:rsidP="002E6E18">
                      <w:pPr>
                        <w:rPr>
                          <w:rFonts w:cs="Arial"/>
                          <w:szCs w:val="22"/>
                        </w:rPr>
                      </w:pPr>
                      <w:r w:rsidRPr="002E6E18">
                        <w:rPr>
                          <w:rFonts w:cs="Arial"/>
                          <w:szCs w:val="22"/>
                        </w:rPr>
                        <w:t xml:space="preserve">The information disseminated in this document is designed to provide helpful information on the feature integrated in the Association’s </w:t>
                      </w:r>
                      <w:proofErr w:type="spellStart"/>
                      <w:r w:rsidRPr="002E6E18">
                        <w:rPr>
                          <w:rFonts w:cs="Arial"/>
                          <w:szCs w:val="22"/>
                        </w:rPr>
                        <w:t>AASHTOWare</w:t>
                      </w:r>
                      <w:proofErr w:type="spellEnd"/>
                      <w:r w:rsidRPr="002E6E18">
                        <w:rPr>
                          <w:rFonts w:cs="Arial"/>
                          <w:szCs w:val="22"/>
                        </w:rPr>
                        <w:t xml:space="preserve"> ME Design software package in the interest of information exchange. References are provided for informational purposes only and do not constitute endorsement of any websites or other sources. </w:t>
                      </w:r>
                    </w:p>
                    <w:p w14:paraId="539E228B" w14:textId="77777777" w:rsidR="002E6E18" w:rsidRPr="002E6E18" w:rsidRDefault="002E6E18" w:rsidP="002E6E18">
                      <w:pPr>
                        <w:rPr>
                          <w:rFonts w:cs="Arial"/>
                          <w:szCs w:val="22"/>
                        </w:rPr>
                      </w:pPr>
                    </w:p>
                    <w:p w14:paraId="74A01EA9" w14:textId="77777777" w:rsidR="002E6E18" w:rsidRPr="002E6E18" w:rsidRDefault="002E6E18" w:rsidP="002E6E18">
                      <w:pPr>
                        <w:pStyle w:val="ListBullet"/>
                        <w:rPr>
                          <w:rFonts w:ascii="Arial" w:hAnsi="Arial" w:cs="Arial"/>
                          <w:sz w:val="22"/>
                          <w:szCs w:val="22"/>
                        </w:rPr>
                      </w:pPr>
                      <w:r w:rsidRPr="002E6E18">
                        <w:rPr>
                          <w:rFonts w:ascii="Arial" w:hAnsi="Arial" w:cs="Arial"/>
                          <w:sz w:val="22"/>
                          <w:szCs w:val="22"/>
                        </w:rPr>
                        <w:t xml:space="preserve">The Association has used it best efforts in preparing this document to supplement the use of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These efforts include reviewing and testing of the approach and methodology to determine the effectiveness and application to ME Design. All work to integrate the feature into the </w:t>
                      </w:r>
                      <w:proofErr w:type="spellStart"/>
                      <w:r w:rsidRPr="002E6E18">
                        <w:rPr>
                          <w:rFonts w:ascii="Arial" w:hAnsi="Arial" w:cs="Arial"/>
                          <w:sz w:val="22"/>
                          <w:szCs w:val="22"/>
                        </w:rPr>
                        <w:t>AASHTOWare</w:t>
                      </w:r>
                      <w:proofErr w:type="spellEnd"/>
                      <w:r w:rsidRPr="002E6E18">
                        <w:rPr>
                          <w:rFonts w:ascii="Arial" w:hAnsi="Arial" w:cs="Arial"/>
                          <w:sz w:val="22"/>
                          <w:szCs w:val="22"/>
                        </w:rPr>
                        <w:t xml:space="preserve"> ME Design software package was conducted in accordance with generally accepted pavement engineering practice.  No other warranty, expressed or implied, is made.  </w:t>
                      </w:r>
                    </w:p>
                    <w:p w14:paraId="3DC53660" w14:textId="77777777" w:rsidR="002E6E18" w:rsidRPr="002E6E18" w:rsidRDefault="002E6E18" w:rsidP="002E6E18">
                      <w:pPr>
                        <w:rPr>
                          <w:rFonts w:cs="Arial"/>
                          <w:szCs w:val="22"/>
                        </w:rPr>
                      </w:pPr>
                    </w:p>
                    <w:p w14:paraId="652DBDB6" w14:textId="6187F1B4" w:rsidR="002E6E18" w:rsidRDefault="002E6E18">
                      <w:r w:rsidRPr="002E6E18">
                        <w:rPr>
                          <w:rFonts w:cs="Arial"/>
                          <w:szCs w:val="22"/>
                        </w:rPr>
                        <w:t>The Association makes no warranty of any kind, expressed or implied, with regard to use of this document and feature integrated into the ME Design software program. The Association shall not be liable in any event for incidental or consequential damages in connection with, or arising out of, the improper use of the document and feature integrated into the ME Design software.</w:t>
                      </w:r>
                    </w:p>
                  </w:txbxContent>
                </v:textbox>
                <w10:anchorlock/>
              </v:shape>
            </w:pict>
          </mc:Fallback>
        </mc:AlternateContent>
      </w:r>
    </w:p>
    <w:p w14:paraId="4C6F93D3" w14:textId="77777777" w:rsidR="002E6E18" w:rsidRPr="002E6E18" w:rsidRDefault="002E6E18" w:rsidP="002E6E18">
      <w:pPr>
        <w:rPr>
          <w:rFonts w:cs="Arial"/>
          <w:szCs w:val="22"/>
        </w:rPr>
      </w:pPr>
    </w:p>
    <w:p w14:paraId="093CC91C" w14:textId="77777777" w:rsidR="002E6E18" w:rsidRDefault="002E6E18">
      <w:pPr>
        <w:spacing w:after="200" w:line="276" w:lineRule="auto"/>
        <w:rPr>
          <w:rFonts w:eastAsia="Calibri" w:cs="Arial"/>
          <w:szCs w:val="22"/>
        </w:rPr>
      </w:pPr>
      <w:r>
        <w:rPr>
          <w:rFonts w:eastAsia="Calibri" w:cs="Arial"/>
          <w:szCs w:val="22"/>
        </w:rPr>
        <w:br w:type="page"/>
      </w:r>
    </w:p>
    <w:p w14:paraId="4BAC7588" w14:textId="3C5AF0B1" w:rsidR="0013302B" w:rsidRPr="002E6E18" w:rsidRDefault="0013302B" w:rsidP="0013302B">
      <w:pPr>
        <w:rPr>
          <w:rFonts w:eastAsia="Calibri" w:cs="Arial"/>
          <w:szCs w:val="22"/>
        </w:rPr>
      </w:pPr>
      <w:r w:rsidRPr="002E6E18">
        <w:rPr>
          <w:rFonts w:eastAsia="Calibri" w:cs="Arial"/>
          <w:szCs w:val="22"/>
        </w:rPr>
        <w:lastRenderedPageBreak/>
        <w:t>Addendum #FY201</w:t>
      </w:r>
      <w:r w:rsidR="00EC1FA6" w:rsidRPr="002E6E18">
        <w:rPr>
          <w:rFonts w:eastAsia="Calibri" w:cs="Arial"/>
          <w:szCs w:val="22"/>
        </w:rPr>
        <w:t>8</w:t>
      </w:r>
      <w:r w:rsidRPr="002E6E18">
        <w:rPr>
          <w:rFonts w:eastAsia="Calibri" w:cs="Arial"/>
          <w:szCs w:val="22"/>
        </w:rPr>
        <w:t>.</w:t>
      </w:r>
      <w:r w:rsidR="0088177D">
        <w:rPr>
          <w:rFonts w:eastAsia="Calibri" w:cs="Arial"/>
          <w:szCs w:val="22"/>
        </w:rPr>
        <w:t>3</w:t>
      </w:r>
      <w:r w:rsidRPr="002E6E18">
        <w:rPr>
          <w:rFonts w:eastAsia="Calibri" w:cs="Arial"/>
          <w:szCs w:val="22"/>
        </w:rPr>
        <w:t xml:space="preserve"> overviews </w:t>
      </w:r>
      <w:r w:rsidR="00EC1FA6" w:rsidRPr="002E6E18">
        <w:rPr>
          <w:rFonts w:cs="Arial"/>
          <w:szCs w:val="22"/>
        </w:rPr>
        <w:t>revisions for indirect tensile strength for input levels 1</w:t>
      </w:r>
      <w:r w:rsidR="00156A0A" w:rsidRPr="002E6E18">
        <w:rPr>
          <w:rFonts w:cs="Arial"/>
          <w:szCs w:val="22"/>
        </w:rPr>
        <w:t>,</w:t>
      </w:r>
      <w:r w:rsidR="00EC1FA6" w:rsidRPr="002E6E18">
        <w:rPr>
          <w:rFonts w:cs="Arial"/>
          <w:szCs w:val="22"/>
        </w:rPr>
        <w:t xml:space="preserve"> 2</w:t>
      </w:r>
      <w:r w:rsidR="00156A0A" w:rsidRPr="002E6E18">
        <w:rPr>
          <w:rFonts w:cs="Arial"/>
          <w:szCs w:val="22"/>
        </w:rPr>
        <w:t>, and 3</w:t>
      </w:r>
      <w:r w:rsidR="00EC1FA6" w:rsidRPr="002E6E18">
        <w:rPr>
          <w:rFonts w:cs="Arial"/>
          <w:szCs w:val="22"/>
        </w:rPr>
        <w:t xml:space="preserve"> to be compatible with the creep compliance input levels 1, 2, and 3. These levels </w:t>
      </w:r>
      <w:r w:rsidR="00156A0A" w:rsidRPr="002E6E18">
        <w:rPr>
          <w:rFonts w:cs="Arial"/>
          <w:szCs w:val="22"/>
        </w:rPr>
        <w:t>are</w:t>
      </w:r>
      <w:r w:rsidR="00EC1FA6" w:rsidRPr="002E6E18">
        <w:rPr>
          <w:rFonts w:cs="Arial"/>
          <w:szCs w:val="22"/>
        </w:rPr>
        <w:t xml:space="preserve"> used </w:t>
      </w:r>
      <w:r w:rsidR="00156A0A" w:rsidRPr="002E6E18">
        <w:rPr>
          <w:rFonts w:cs="Arial"/>
          <w:szCs w:val="22"/>
        </w:rPr>
        <w:t>t</w:t>
      </w:r>
      <w:r w:rsidR="00EC1FA6" w:rsidRPr="002E6E18">
        <w:rPr>
          <w:rFonts w:cs="Arial"/>
          <w:szCs w:val="22"/>
        </w:rPr>
        <w:t>o calculat</w:t>
      </w:r>
      <w:r w:rsidR="00156A0A" w:rsidRPr="002E6E18">
        <w:rPr>
          <w:rFonts w:cs="Arial"/>
          <w:szCs w:val="22"/>
        </w:rPr>
        <w:t>e</w:t>
      </w:r>
      <w:r w:rsidR="00EC1FA6" w:rsidRPr="002E6E18">
        <w:rPr>
          <w:rFonts w:cs="Arial"/>
          <w:szCs w:val="22"/>
        </w:rPr>
        <w:t xml:space="preserve"> the length of transverse cracks caused by a temperature event or a decrease in temperature, as well as in preparation for predicting the occurrence of transverse cracking in warmer climates (i.e.; mechanism of shrinkage cracks).</w:t>
      </w:r>
    </w:p>
    <w:p w14:paraId="3225B966" w14:textId="77777777" w:rsidR="0013302B" w:rsidRPr="002E6E18" w:rsidRDefault="0013302B" w:rsidP="0013302B">
      <w:pPr>
        <w:rPr>
          <w:rFonts w:eastAsia="Calibri" w:cs="Arial"/>
          <w:szCs w:val="22"/>
        </w:rPr>
      </w:pPr>
      <w:r w:rsidRPr="002E6E18">
        <w:rPr>
          <w:rFonts w:eastAsia="Calibri" w:cs="Arial"/>
          <w:szCs w:val="22"/>
        </w:rPr>
        <w:t xml:space="preserve"> </w:t>
      </w:r>
    </w:p>
    <w:p w14:paraId="6C465378" w14:textId="77777777" w:rsidR="00F067D4" w:rsidRDefault="00F067D4" w:rsidP="00F067D4">
      <w:pPr>
        <w:pStyle w:val="Heading2"/>
        <w:rPr>
          <w:sz w:val="24"/>
          <w:szCs w:val="24"/>
        </w:rPr>
      </w:pPr>
      <w:r>
        <w:rPr>
          <w:sz w:val="24"/>
          <w:szCs w:val="24"/>
        </w:rPr>
        <w:t xml:space="preserve">Chapter </w:t>
      </w:r>
      <w:r w:rsidR="000E52C2">
        <w:rPr>
          <w:sz w:val="24"/>
          <w:szCs w:val="24"/>
        </w:rPr>
        <w:t>5</w:t>
      </w:r>
      <w:r>
        <w:rPr>
          <w:sz w:val="24"/>
          <w:szCs w:val="24"/>
        </w:rPr>
        <w:t xml:space="preserve"> – </w:t>
      </w:r>
      <w:r w:rsidR="00AA7333">
        <w:rPr>
          <w:sz w:val="24"/>
          <w:szCs w:val="24"/>
        </w:rPr>
        <w:t>Performance Indicator Prediction Methodologies</w:t>
      </w:r>
    </w:p>
    <w:p w14:paraId="60FD257E" w14:textId="77777777" w:rsidR="00EE5143" w:rsidRPr="00EE5143" w:rsidRDefault="00EC1FA6" w:rsidP="00EE5143">
      <w:pPr>
        <w:rPr>
          <w:rFonts w:eastAsia="Calibri" w:cs="Arial"/>
        </w:rPr>
      </w:pPr>
      <w:r>
        <w:rPr>
          <w:rFonts w:eastAsia="Calibri" w:cs="Arial"/>
        </w:rPr>
        <w:t>No changes are required for Chapter 5 as the overall mechanism remains the same</w:t>
      </w:r>
      <w:r w:rsidR="00A64B7C">
        <w:rPr>
          <w:rFonts w:eastAsia="Calibri" w:cs="Arial"/>
        </w:rPr>
        <w:t>.</w:t>
      </w:r>
      <w:r>
        <w:rPr>
          <w:rFonts w:eastAsia="Calibri" w:cs="Arial"/>
        </w:rPr>
        <w:t xml:space="preserve"> </w:t>
      </w:r>
      <w:r w:rsidR="00A64B7C">
        <w:rPr>
          <w:rFonts w:eastAsia="Calibri" w:cs="Arial"/>
        </w:rPr>
        <w:t>T</w:t>
      </w:r>
      <w:r>
        <w:rPr>
          <w:rFonts w:eastAsia="Calibri" w:cs="Arial"/>
        </w:rPr>
        <w:t>he prediction model and transfer function</w:t>
      </w:r>
      <w:r w:rsidR="00A64B7C">
        <w:rPr>
          <w:rFonts w:eastAsia="Calibri" w:cs="Arial"/>
        </w:rPr>
        <w:t xml:space="preserve"> for predicting transverse cracks in AC wearing surface layers was</w:t>
      </w:r>
      <w:r>
        <w:rPr>
          <w:rFonts w:eastAsia="Calibri" w:cs="Arial"/>
        </w:rPr>
        <w:t xml:space="preserve"> not changed.</w:t>
      </w:r>
      <w:r w:rsidR="00EE5143" w:rsidRPr="00EE5143">
        <w:rPr>
          <w:rFonts w:eastAsia="Calibri" w:cs="Arial"/>
        </w:rPr>
        <w:t xml:space="preserve">  </w:t>
      </w:r>
    </w:p>
    <w:bookmarkEnd w:id="0"/>
    <w:p w14:paraId="6A943933" w14:textId="77777777" w:rsidR="0057117D" w:rsidRDefault="0057117D" w:rsidP="0057117D">
      <w:pPr>
        <w:rPr>
          <w:szCs w:val="22"/>
        </w:rPr>
      </w:pPr>
    </w:p>
    <w:p w14:paraId="53633EFB" w14:textId="77777777" w:rsidR="00EC1FA6" w:rsidRDefault="00EC1FA6" w:rsidP="00EC1FA6">
      <w:pPr>
        <w:pStyle w:val="Heading2"/>
        <w:rPr>
          <w:sz w:val="24"/>
          <w:szCs w:val="24"/>
        </w:rPr>
      </w:pPr>
      <w:r>
        <w:rPr>
          <w:sz w:val="24"/>
          <w:szCs w:val="24"/>
        </w:rPr>
        <w:t>Chapter 10 – Determination of Material Properties for New Paving Materials</w:t>
      </w:r>
    </w:p>
    <w:p w14:paraId="2173FAC7" w14:textId="77777777" w:rsidR="00EC1FA6" w:rsidRDefault="00EC1FA6" w:rsidP="00EC1FA6">
      <w:pPr>
        <w:pStyle w:val="Heading3"/>
        <w:rPr>
          <w:rFonts w:eastAsia="Calibri"/>
        </w:rPr>
      </w:pPr>
      <w:r>
        <w:rPr>
          <w:rFonts w:eastAsia="Calibri"/>
        </w:rPr>
        <w:t>10.2</w:t>
      </w:r>
      <w:r>
        <w:rPr>
          <w:rFonts w:eastAsia="Calibri"/>
        </w:rPr>
        <w:tab/>
        <w:t>HMA Mixtures; Including SMA, Asphalt-Treated or Stabilized Base Layers, Asphalt Permeable Treated Base Mixes</w:t>
      </w:r>
    </w:p>
    <w:p w14:paraId="796864BA" w14:textId="77777777" w:rsidR="00EC1FA6" w:rsidRDefault="00EC1FA6" w:rsidP="00EC1FA6">
      <w:pPr>
        <w:rPr>
          <w:rFonts w:eastAsia="Calibri" w:cs="Arial"/>
        </w:rPr>
      </w:pPr>
    </w:p>
    <w:p w14:paraId="34ED3BDE" w14:textId="7BD04EE9" w:rsidR="00124E63" w:rsidRDefault="00124E63" w:rsidP="00124E63">
      <w:pPr>
        <w:pStyle w:val="Heading4"/>
      </w:pPr>
      <w:r>
        <w:t>10.2.1</w:t>
      </w:r>
      <w:r>
        <w:tab/>
        <w:t>Indirect Tensile Strength</w:t>
      </w:r>
      <w:r w:rsidR="00156A0A">
        <w:t xml:space="preserve"> and Creep Compliance</w:t>
      </w:r>
    </w:p>
    <w:p w14:paraId="24DAD0AB" w14:textId="77777777" w:rsidR="00156A0A" w:rsidRDefault="00156A0A" w:rsidP="00EC1FA6">
      <w:r>
        <w:t xml:space="preserve">The indirect tensile (IDT) strength and creep compliance properties are only required for the AC wearing surface. The IDT strength and creep-compliance are not required for any of the lower AC layers.  </w:t>
      </w:r>
    </w:p>
    <w:p w14:paraId="592B97CA" w14:textId="77777777" w:rsidR="00156A0A" w:rsidRDefault="00156A0A" w:rsidP="00EC1FA6"/>
    <w:p w14:paraId="7BA0DEAF" w14:textId="77777777" w:rsidR="00156A0A" w:rsidRDefault="00922238" w:rsidP="00EC1FA6">
      <w:r>
        <w:t>Earlier versions of t</w:t>
      </w:r>
      <w:r w:rsidR="00A64B7C">
        <w:t>he ME Design software require</w:t>
      </w:r>
      <w:r>
        <w:t>d</w:t>
      </w:r>
      <w:r w:rsidR="00A64B7C">
        <w:t xml:space="preserve"> the indirect tensile (IDT) strength of AC wearing surface to be measured at a temperature of 14 </w:t>
      </w:r>
      <w:r w:rsidR="00A64B7C">
        <w:rPr>
          <w:rFonts w:cs="Arial"/>
        </w:rPr>
        <w:t>⁰</w:t>
      </w:r>
      <w:r>
        <w:rPr>
          <w:rFonts w:cs="Arial"/>
        </w:rPr>
        <w:t>F</w:t>
      </w:r>
      <w:r w:rsidR="00A64B7C">
        <w:t xml:space="preserve"> for input levels 1 and 2</w:t>
      </w:r>
      <w:r>
        <w:t xml:space="preserve"> in accordance with AASHTO T 322</w:t>
      </w:r>
      <w:r w:rsidR="00A64B7C">
        <w:t>, while</w:t>
      </w:r>
      <w:r>
        <w:t xml:space="preserve"> a</w:t>
      </w:r>
      <w:r w:rsidR="00A64B7C">
        <w:t xml:space="preserve"> regression equation </w:t>
      </w:r>
      <w:r>
        <w:t>is</w:t>
      </w:r>
      <w:r w:rsidR="00A64B7C">
        <w:t xml:space="preserve"> used to </w:t>
      </w:r>
      <w:r>
        <w:t>calculate</w:t>
      </w:r>
      <w:r w:rsidR="00A64B7C">
        <w:t xml:space="preserve"> the IDT strength at 14 </w:t>
      </w:r>
      <w:r w:rsidR="00A64B7C">
        <w:rPr>
          <w:rFonts w:cs="Arial"/>
        </w:rPr>
        <w:t>⁰</w:t>
      </w:r>
      <w:r>
        <w:rPr>
          <w:rFonts w:cs="Arial"/>
        </w:rPr>
        <w:t>F</w:t>
      </w:r>
      <w:r w:rsidR="00124E63">
        <w:rPr>
          <w:rFonts w:cs="Arial"/>
        </w:rPr>
        <w:t xml:space="preserve"> (-10 ⁰C)</w:t>
      </w:r>
      <w:r w:rsidR="00A64B7C">
        <w:t xml:space="preserve"> for input level 3.</w:t>
      </w:r>
      <w:r>
        <w:t xml:space="preserve"> The ME Design software assumes that the IDT strength is the same at all other temperatures.</w:t>
      </w:r>
      <w:r w:rsidR="00A64B7C">
        <w:t xml:space="preserve"> </w:t>
      </w:r>
      <w:r w:rsidR="00156A0A">
        <w:t xml:space="preserve">In other words, the IDT strength is independent of temperature. </w:t>
      </w:r>
    </w:p>
    <w:p w14:paraId="3F6885D2" w14:textId="77777777" w:rsidR="00156A0A" w:rsidRDefault="00156A0A" w:rsidP="00EC1FA6"/>
    <w:p w14:paraId="0C1E76B6" w14:textId="27E29904" w:rsidR="002B0E55" w:rsidRDefault="00922238" w:rsidP="00EC1FA6">
      <w:r>
        <w:t>The IDT creep compliance of</w:t>
      </w:r>
      <w:r w:rsidR="00A64B7C">
        <w:t xml:space="preserve"> </w:t>
      </w:r>
      <w:r>
        <w:t xml:space="preserve">the wearing surface is measured at </w:t>
      </w:r>
      <w:r w:rsidR="00124E63">
        <w:t>32</w:t>
      </w:r>
      <w:r>
        <w:t xml:space="preserve">, 14, and </w:t>
      </w:r>
      <w:r w:rsidR="00124E63">
        <w:t>-4</w:t>
      </w:r>
      <w:r>
        <w:t xml:space="preserve"> </w:t>
      </w:r>
      <w:r>
        <w:rPr>
          <w:rFonts w:cs="Arial"/>
        </w:rPr>
        <w:t>⁰</w:t>
      </w:r>
      <w:r>
        <w:t>F</w:t>
      </w:r>
      <w:r w:rsidR="00124E63">
        <w:t xml:space="preserve"> (0, -10, and -20 </w:t>
      </w:r>
      <w:r w:rsidR="00124E63">
        <w:rPr>
          <w:rFonts w:cs="Arial"/>
        </w:rPr>
        <w:t>⁰</w:t>
      </w:r>
      <w:r w:rsidR="00124E63">
        <w:t>C)</w:t>
      </w:r>
      <w:r>
        <w:t xml:space="preserve"> in accordance with AASHTO T 322 for input level 1, while for input level 2 the creep compliance is only measured at 14 </w:t>
      </w:r>
      <w:r>
        <w:rPr>
          <w:rFonts w:cs="Arial"/>
        </w:rPr>
        <w:t>⁰</w:t>
      </w:r>
      <w:r>
        <w:t>F. For input level 3, regression equations are used to calculate creep compliance.</w:t>
      </w:r>
      <w:r w:rsidR="00124E63">
        <w:t xml:space="preserve"> As such, Table 10-2 only listed AASHTO T 322. </w:t>
      </w:r>
    </w:p>
    <w:p w14:paraId="07BCED67" w14:textId="77777777" w:rsidR="002B0E55" w:rsidRDefault="002B0E55" w:rsidP="00EC1FA6"/>
    <w:p w14:paraId="75EC2E41" w14:textId="77777777" w:rsidR="00A64B7C" w:rsidRDefault="00124E63" w:rsidP="00EC1FA6">
      <w:r>
        <w:t>The software was revised</w:t>
      </w:r>
      <w:r w:rsidR="002B0E55">
        <w:t xml:space="preserve"> for version 2.5</w:t>
      </w:r>
      <w:r>
        <w:t xml:space="preserve"> to allow the user to measure the IDT strength at other temperatures and to use the temperature dependent IDT strengths for predicting transverse crack length. </w:t>
      </w:r>
      <w:r w:rsidR="00C15C8F">
        <w:t>The different input levels for the IDT strength are discussed below:</w:t>
      </w:r>
    </w:p>
    <w:p w14:paraId="00B76968" w14:textId="77777777" w:rsidR="00124E63" w:rsidRDefault="00124E63" w:rsidP="00EC1FA6"/>
    <w:p w14:paraId="17535C94" w14:textId="2AE5CE13" w:rsidR="00C15C8F" w:rsidRDefault="00124E63" w:rsidP="002B0E55">
      <w:pPr>
        <w:pStyle w:val="ListParagraph"/>
        <w:numPr>
          <w:ilvl w:val="0"/>
          <w:numId w:val="9"/>
        </w:numPr>
      </w:pPr>
      <w:r>
        <w:t xml:space="preserve">For input level 1, the user </w:t>
      </w:r>
      <w:r w:rsidR="002B0E55">
        <w:t>measures</w:t>
      </w:r>
      <w:r w:rsidR="00C15C8F">
        <w:t xml:space="preserve"> the</w:t>
      </w:r>
      <w:r>
        <w:t xml:space="preserve"> IDT strength </w:t>
      </w:r>
      <w:r w:rsidR="00156A0A">
        <w:t>at</w:t>
      </w:r>
      <w:r>
        <w:t xml:space="preserve"> multiple</w:t>
      </w:r>
      <w:r w:rsidR="00C15C8F">
        <w:t xml:space="preserve"> test</w:t>
      </w:r>
      <w:r>
        <w:t xml:space="preserve"> temperatures</w:t>
      </w:r>
      <w:r w:rsidR="002B0E55">
        <w:t xml:space="preserve"> in accordance with ASTM D6931-17, Standard Test Method for Indirect Tensile (IDT) Strength of Asphalt Mixtures</w:t>
      </w:r>
      <w:r>
        <w:t xml:space="preserve">. </w:t>
      </w:r>
      <w:r w:rsidR="00156A0A">
        <w:t xml:space="preserve">It is recommended that four temperatures be used (14, 32, 55, and 80 </w:t>
      </w:r>
      <w:r w:rsidR="00156A0A">
        <w:rPr>
          <w:rFonts w:cs="Arial"/>
        </w:rPr>
        <w:t>⁰</w:t>
      </w:r>
      <w:r w:rsidR="00156A0A">
        <w:t xml:space="preserve">F) for standard binders. For hard binders, the recommended test temperatures are 14, 40, 70, and 100 </w:t>
      </w:r>
      <w:r w:rsidR="00156A0A">
        <w:rPr>
          <w:rFonts w:cs="Arial"/>
        </w:rPr>
        <w:t>⁰</w:t>
      </w:r>
      <w:r w:rsidR="00156A0A">
        <w:t xml:space="preserve">F.  </w:t>
      </w:r>
      <w:r>
        <w:t xml:space="preserve">The </w:t>
      </w:r>
      <w:r w:rsidR="002B0E55">
        <w:t>measured IDT strengths</w:t>
      </w:r>
      <w:r w:rsidR="00156A0A">
        <w:t xml:space="preserve"> and test temperatures</w:t>
      </w:r>
      <w:r w:rsidR="002B0E55">
        <w:t xml:space="preserve"> are entered into the software. The software derives the mixture specific coefficients </w:t>
      </w:r>
      <w:r>
        <w:t xml:space="preserve">of the following regression equation for predicting the IDT strength at any temperature. </w:t>
      </w:r>
      <w:r w:rsidR="00C15C8F">
        <w:t xml:space="preserve">The maximum IDT strength is still assumed to be at 14 </w:t>
      </w:r>
      <w:r w:rsidR="00C15C8F" w:rsidRPr="002B0E55">
        <w:rPr>
          <w:rFonts w:cs="Arial"/>
        </w:rPr>
        <w:t>⁰</w:t>
      </w:r>
      <w:r w:rsidR="00C15C8F">
        <w:t xml:space="preserve">F. </w:t>
      </w:r>
    </w:p>
    <w:p w14:paraId="5372E2ED" w14:textId="1DFC1C8E" w:rsidR="008A0237" w:rsidRDefault="008A0237" w:rsidP="008A0237"/>
    <w:p w14:paraId="6BE0318D" w14:textId="20E8CD2F" w:rsidR="008A0237" w:rsidRDefault="007E61D5" w:rsidP="008A0237">
      <m:oMathPara>
        <m:oMath>
          <m:sSub>
            <m:sSubPr>
              <m:ctrlPr>
                <w:rPr>
                  <w:rFonts w:ascii="Cambria Math" w:hAnsi="Cambria Math"/>
                  <w:i/>
                </w:rPr>
              </m:ctrlPr>
            </m:sSubPr>
            <m:e>
              <m:r>
                <w:rPr>
                  <w:rFonts w:ascii="Cambria Math" w:hAnsi="Cambria Math"/>
                </w:rPr>
                <m:t>IDT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IDT</m:t>
              </m:r>
            </m:e>
            <m:sub>
              <m:r>
                <w:rPr>
                  <w:rFonts w:ascii="Cambria Math" w:hAnsi="Cambria Math"/>
                </w:rPr>
                <m:t>Max</m:t>
              </m:r>
            </m:sub>
          </m:sSub>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a</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40</m:t>
                              </m:r>
                            </m:num>
                            <m:den>
                              <m:r>
                                <w:rPr>
                                  <w:rFonts w:ascii="Cambria Math" w:hAnsi="Cambria Math"/>
                                </w:rPr>
                                <m:t>T</m:t>
                              </m:r>
                            </m:den>
                          </m:f>
                        </m:e>
                      </m:d>
                    </m:e>
                    <m:sup>
                      <m:r>
                        <w:rPr>
                          <w:rFonts w:ascii="Cambria Math" w:hAnsi="Cambria Math"/>
                        </w:rPr>
                        <m:t>b</m:t>
                      </m:r>
                    </m:sup>
                  </m:sSup>
                </m:sup>
              </m:sSup>
            </m:e>
          </m:d>
        </m:oMath>
      </m:oMathPara>
    </w:p>
    <w:p w14:paraId="76B9A1D7" w14:textId="7501F21B" w:rsidR="008A0237" w:rsidRDefault="008A0237" w:rsidP="008A0237">
      <w:r>
        <w:tab/>
        <w:t>Where:</w:t>
      </w:r>
    </w:p>
    <w:p w14:paraId="5191EC4B" w14:textId="5071FF88" w:rsidR="008A0237" w:rsidRDefault="008A0237" w:rsidP="008A0237">
      <w:r>
        <w:tab/>
      </w:r>
      <w:r>
        <w:tab/>
      </w:r>
      <w:r w:rsidRPr="008A0237">
        <w:rPr>
          <w:i/>
        </w:rPr>
        <w:t>IDT</w:t>
      </w:r>
      <w:r w:rsidRPr="008A0237">
        <w:rPr>
          <w:i/>
          <w:vertAlign w:val="subscript"/>
        </w:rPr>
        <w:t>T</w:t>
      </w:r>
      <w:r>
        <w:tab/>
        <w:t>= IDT strength at temperature T.</w:t>
      </w:r>
    </w:p>
    <w:p w14:paraId="4064EA3C" w14:textId="6E1B2070" w:rsidR="008A0237" w:rsidRDefault="008A0237" w:rsidP="008A0237">
      <w:r>
        <w:tab/>
      </w:r>
      <w:r>
        <w:tab/>
      </w:r>
      <w:proofErr w:type="spellStart"/>
      <w:r w:rsidRPr="008A0237">
        <w:rPr>
          <w:i/>
        </w:rPr>
        <w:t>IDT</w:t>
      </w:r>
      <w:r w:rsidRPr="008A0237">
        <w:rPr>
          <w:i/>
          <w:vertAlign w:val="subscript"/>
        </w:rPr>
        <w:t>Max</w:t>
      </w:r>
      <w:proofErr w:type="spellEnd"/>
      <w:r>
        <w:tab/>
        <w:t xml:space="preserve">= Maximum IDT strength (measured at 14 </w:t>
      </w:r>
      <w:r>
        <w:rPr>
          <w:rFonts w:cs="Arial"/>
        </w:rPr>
        <w:t>⁰</w:t>
      </w:r>
      <w:r>
        <w:t>F).</w:t>
      </w:r>
    </w:p>
    <w:p w14:paraId="66B1DCD5" w14:textId="17632512" w:rsidR="008A0237" w:rsidRDefault="008A0237" w:rsidP="008A0237">
      <w:pPr>
        <w:ind w:left="720" w:firstLine="720"/>
      </w:pPr>
      <w:r w:rsidRPr="008A0237">
        <w:rPr>
          <w:i/>
        </w:rPr>
        <w:t>T</w:t>
      </w:r>
      <w:r>
        <w:tab/>
        <w:t xml:space="preserve">= Temperature in </w:t>
      </w:r>
      <w:r>
        <w:rPr>
          <w:rFonts w:cs="Arial"/>
        </w:rPr>
        <w:t>⁰</w:t>
      </w:r>
      <w:r>
        <w:t>F</w:t>
      </w:r>
    </w:p>
    <w:p w14:paraId="0FC6070E" w14:textId="4F64B0EA" w:rsidR="008A0237" w:rsidRDefault="008A0237" w:rsidP="008A0237">
      <w:r>
        <w:tab/>
      </w:r>
      <w:r>
        <w:tab/>
      </w:r>
      <w:proofErr w:type="spellStart"/>
      <w:proofErr w:type="gramStart"/>
      <w:r w:rsidRPr="008A0237">
        <w:rPr>
          <w:i/>
        </w:rPr>
        <w:t>a,b</w:t>
      </w:r>
      <w:proofErr w:type="spellEnd"/>
      <w:proofErr w:type="gramEnd"/>
      <w:r>
        <w:tab/>
        <w:t>= regression coefficients (global values are a = -0.55 and b = 2.5.</w:t>
      </w:r>
    </w:p>
    <w:p w14:paraId="64E3EF60" w14:textId="77777777" w:rsidR="008A0237" w:rsidRDefault="008A0237" w:rsidP="008A0237"/>
    <w:p w14:paraId="23114600" w14:textId="629F4917" w:rsidR="00124E63" w:rsidRDefault="00C15C8F" w:rsidP="002B0E55">
      <w:pPr>
        <w:pStyle w:val="ListParagraph"/>
        <w:numPr>
          <w:ilvl w:val="0"/>
          <w:numId w:val="9"/>
        </w:numPr>
      </w:pPr>
      <w:r>
        <w:t xml:space="preserve">For input level 2, the IDT strength is measured at </w:t>
      </w:r>
      <w:r w:rsidR="002B0E55">
        <w:t xml:space="preserve">14 </w:t>
      </w:r>
      <w:r w:rsidR="002B0E55" w:rsidRPr="002B0E55">
        <w:rPr>
          <w:rFonts w:cs="Arial"/>
        </w:rPr>
        <w:t>⁰</w:t>
      </w:r>
      <w:r w:rsidR="002B0E55">
        <w:t xml:space="preserve">F, and the above regression equation is used to calculate the IDT strength at other test temperatures using the global </w:t>
      </w:r>
      <w:r w:rsidR="000C1ABC">
        <w:t xml:space="preserve">mixture </w:t>
      </w:r>
      <w:r w:rsidR="002B0E55">
        <w:t>regression coefficients.</w:t>
      </w:r>
    </w:p>
    <w:p w14:paraId="13C3D34C" w14:textId="77777777" w:rsidR="00156A0A" w:rsidRDefault="00156A0A" w:rsidP="00156A0A">
      <w:pPr>
        <w:ind w:left="360"/>
      </w:pPr>
    </w:p>
    <w:p w14:paraId="68B73F4C" w14:textId="7B8CC645" w:rsidR="002B0E55" w:rsidRDefault="002B0E55" w:rsidP="002B0E55">
      <w:pPr>
        <w:pStyle w:val="ListParagraph"/>
        <w:numPr>
          <w:ilvl w:val="0"/>
          <w:numId w:val="9"/>
        </w:numPr>
      </w:pPr>
      <w:r>
        <w:t xml:space="preserve">For input level 3, the maximum IDT strength is calculated at 14 </w:t>
      </w:r>
      <w:r w:rsidRPr="002B0E55">
        <w:rPr>
          <w:rFonts w:cs="Arial"/>
        </w:rPr>
        <w:t>⁰</w:t>
      </w:r>
      <w:r>
        <w:t>F using the regression equation included in the ME Design software. The above regression equation is used to calculate the IDT strength at the other temperatures</w:t>
      </w:r>
      <w:r w:rsidR="00156A0A">
        <w:t xml:space="preserve"> using the global mixture regression coefficients</w:t>
      </w:r>
      <w:r>
        <w:t>.</w:t>
      </w:r>
    </w:p>
    <w:p w14:paraId="59042385" w14:textId="77777777" w:rsidR="002B0E55" w:rsidRDefault="002B0E55" w:rsidP="00EC1FA6"/>
    <w:p w14:paraId="0ED38826" w14:textId="77777777" w:rsidR="002B0E55" w:rsidRDefault="002B0E55" w:rsidP="00EC1FA6"/>
    <w:p w14:paraId="641AE3AF" w14:textId="77777777" w:rsidR="00A64B7C" w:rsidRDefault="00A64B7C" w:rsidP="00EC1FA6"/>
    <w:p w14:paraId="769D8E28" w14:textId="77777777" w:rsidR="00EC1FA6" w:rsidRDefault="00EC1FA6" w:rsidP="00EC1FA6">
      <w:pPr>
        <w:rPr>
          <w:szCs w:val="22"/>
        </w:rPr>
      </w:pPr>
    </w:p>
    <w:p w14:paraId="15638FB7" w14:textId="77777777" w:rsidR="00EC1FA6" w:rsidRDefault="00EC1FA6" w:rsidP="0057117D">
      <w:pPr>
        <w:rPr>
          <w:szCs w:val="22"/>
        </w:rPr>
      </w:pPr>
    </w:p>
    <w:p w14:paraId="278D2AA3" w14:textId="77777777" w:rsidR="0057117D" w:rsidRDefault="0057117D" w:rsidP="0057117D">
      <w:pPr>
        <w:rPr>
          <w:szCs w:val="22"/>
        </w:rPr>
      </w:pPr>
    </w:p>
    <w:p w14:paraId="6DA969CE" w14:textId="77777777" w:rsidR="00EE5143" w:rsidRDefault="00EE5143" w:rsidP="00EE5143">
      <w:pPr>
        <w:rPr>
          <w:szCs w:val="22"/>
        </w:rPr>
      </w:pPr>
    </w:p>
    <w:p w14:paraId="174D05B1" w14:textId="77777777" w:rsidR="00EE5143" w:rsidRDefault="00EE5143" w:rsidP="0078355B">
      <w:pPr>
        <w:rPr>
          <w:szCs w:val="22"/>
        </w:rPr>
      </w:pPr>
    </w:p>
    <w:p w14:paraId="00E0028A" w14:textId="77777777" w:rsidR="00EE5143" w:rsidRDefault="00EE5143" w:rsidP="0078355B">
      <w:pPr>
        <w:rPr>
          <w:szCs w:val="22"/>
        </w:rPr>
      </w:pPr>
    </w:p>
    <w:sectPr w:rsidR="00EE51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A26DF" w14:textId="77777777" w:rsidR="007E61D5" w:rsidRDefault="007E61D5" w:rsidP="0013302B">
      <w:r>
        <w:separator/>
      </w:r>
    </w:p>
  </w:endnote>
  <w:endnote w:type="continuationSeparator" w:id="0">
    <w:p w14:paraId="54B2811F" w14:textId="77777777" w:rsidR="007E61D5" w:rsidRDefault="007E61D5" w:rsidP="0013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3499" w14:textId="77777777" w:rsidR="00126704" w:rsidRDefault="00126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08567"/>
      <w:docPartObj>
        <w:docPartGallery w:val="Page Numbers (Bottom of Page)"/>
        <w:docPartUnique/>
      </w:docPartObj>
    </w:sdtPr>
    <w:sdtEndPr>
      <w:rPr>
        <w:noProof/>
      </w:rPr>
    </w:sdtEndPr>
    <w:sdtContent>
      <w:p w14:paraId="286A6960" w14:textId="77777777" w:rsidR="0013302B" w:rsidRDefault="0013302B">
        <w:pPr>
          <w:pStyle w:val="Footer"/>
          <w:jc w:val="center"/>
        </w:pPr>
        <w:r>
          <w:rPr>
            <w:noProof/>
          </w:rPr>
          <mc:AlternateContent>
            <mc:Choice Requires="wps">
              <w:drawing>
                <wp:inline distT="0" distB="0" distL="0" distR="0" wp14:anchorId="1A2CF410" wp14:editId="499BC1B5">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FB86C79"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14:paraId="1559574E" w14:textId="3BBA721F" w:rsidR="0013302B" w:rsidRDefault="0013302B">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w:t>
        </w:r>
        <w:r w:rsidR="002E6E18">
          <w:rPr>
            <w:noProof/>
          </w:rPr>
          <w:t>3</w:t>
        </w:r>
      </w:p>
    </w:sdtContent>
  </w:sdt>
  <w:p w14:paraId="1F770422" w14:textId="77777777" w:rsidR="0013302B" w:rsidRDefault="00133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BEA0" w14:textId="77777777" w:rsidR="00126704" w:rsidRDefault="00126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4CB2" w14:textId="77777777" w:rsidR="007E61D5" w:rsidRDefault="007E61D5" w:rsidP="0013302B">
      <w:r>
        <w:separator/>
      </w:r>
    </w:p>
  </w:footnote>
  <w:footnote w:type="continuationSeparator" w:id="0">
    <w:p w14:paraId="3F68575C" w14:textId="77777777" w:rsidR="007E61D5" w:rsidRDefault="007E61D5" w:rsidP="0013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2173" w14:textId="77777777" w:rsidR="00126704" w:rsidRDefault="00126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65"/>
      <w:gridCol w:w="1825"/>
    </w:tblGrid>
    <w:tr w:rsidR="0013302B" w14:paraId="13E38AE4" w14:textId="77777777" w:rsidTr="0013302B">
      <w:trPr>
        <w:trHeight w:val="288"/>
      </w:trPr>
      <w:tc>
        <w:tcPr>
          <w:tcW w:w="7765" w:type="dxa"/>
        </w:tcPr>
        <w:p w14:paraId="5DB86A12" w14:textId="52F7E5CC" w:rsidR="0013302B" w:rsidRDefault="00126704" w:rsidP="0013302B">
          <w:pPr>
            <w:pStyle w:val="Header"/>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id w:val="-2112505082"/>
              <w:docPartObj>
                <w:docPartGallery w:val="Watermarks"/>
                <w:docPartUnique/>
              </w:docPartObj>
            </w:sdtPr>
            <w:sdtContent>
              <w:r w:rsidRPr="00126704">
                <w:rPr>
                  <w:rFonts w:asciiTheme="majorHAnsi" w:eastAsiaTheme="majorEastAsia" w:hAnsiTheme="majorHAnsi" w:cstheme="majorBidi"/>
                  <w:noProof/>
                  <w:sz w:val="36"/>
                  <w:szCs w:val="36"/>
                </w:rPr>
                <w:pict w14:anchorId="65796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6"/>
                <w:szCs w:val="36"/>
              </w:rPr>
              <w:alias w:val="Title"/>
              <w:id w:val="77761602"/>
              <w:placeholder>
                <w:docPart w:val="7B37254C6686452DBBF5D7012ACADB6D"/>
              </w:placeholder>
              <w:dataBinding w:prefixMappings="xmlns:ns0='http://schemas.openxmlformats.org/package/2006/metadata/core-properties' xmlns:ns1='http://purl.org/dc/elements/1.1/'" w:xpath="/ns0:coreProperties[1]/ns1:title[1]" w:storeItemID="{6C3C8BC8-F283-45AE-878A-BAB7291924A1}"/>
              <w:text/>
            </w:sdtPr>
            <w:sdtEndPr/>
            <w:sdtContent>
              <w:r w:rsidR="00EC1FA6">
                <w:rPr>
                  <w:rFonts w:asciiTheme="majorHAnsi" w:eastAsiaTheme="majorEastAsia" w:hAnsiTheme="majorHAnsi" w:cstheme="majorBidi"/>
                  <w:sz w:val="36"/>
                  <w:szCs w:val="36"/>
                </w:rPr>
                <w:t>Indirect Tensile Strength</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738F15B11BA1437D8EDDB7A52D72044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825" w:type="dxa"/>
            </w:tcPr>
            <w:p w14:paraId="06CA2469" w14:textId="77777777" w:rsidR="0013302B" w:rsidRDefault="0013302B" w:rsidP="0013302B">
              <w:pPr>
                <w:pStyle w:val="Header"/>
                <w:jc w:val="right"/>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 201</w:t>
              </w:r>
              <w:r w:rsidR="00EC1FA6">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8</w:t>
              </w:r>
            </w:p>
          </w:tc>
        </w:sdtContent>
      </w:sdt>
    </w:tr>
  </w:tbl>
  <w:p w14:paraId="1B540FE4" w14:textId="77777777" w:rsidR="0013302B" w:rsidRDefault="00133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6C86" w14:textId="77777777" w:rsidR="00126704" w:rsidRDefault="00126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079"/>
    <w:multiLevelType w:val="hybridMultilevel"/>
    <w:tmpl w:val="3480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144E8"/>
    <w:multiLevelType w:val="hybridMultilevel"/>
    <w:tmpl w:val="6AF6E8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F680E"/>
    <w:multiLevelType w:val="hybridMultilevel"/>
    <w:tmpl w:val="0DE6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86E89"/>
    <w:multiLevelType w:val="hybridMultilevel"/>
    <w:tmpl w:val="82E2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038B1"/>
    <w:multiLevelType w:val="multilevel"/>
    <w:tmpl w:val="1E32B5A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E8089C"/>
    <w:multiLevelType w:val="hybridMultilevel"/>
    <w:tmpl w:val="065084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369C0"/>
    <w:multiLevelType w:val="hybridMultilevel"/>
    <w:tmpl w:val="1782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BEAAB0">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2370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7AC48C4"/>
    <w:multiLevelType w:val="hybridMultilevel"/>
    <w:tmpl w:val="7A2683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2"/>
  </w:num>
  <w:num w:numId="5">
    <w:abstractNumId w:val="7"/>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7D4"/>
    <w:rsid w:val="000C1ABC"/>
    <w:rsid w:val="000D2306"/>
    <w:rsid w:val="000E52C2"/>
    <w:rsid w:val="00124E63"/>
    <w:rsid w:val="00126704"/>
    <w:rsid w:val="0013302B"/>
    <w:rsid w:val="00156A0A"/>
    <w:rsid w:val="001600AD"/>
    <w:rsid w:val="001C3419"/>
    <w:rsid w:val="00231899"/>
    <w:rsid w:val="0023524F"/>
    <w:rsid w:val="00273E59"/>
    <w:rsid w:val="002B0E55"/>
    <w:rsid w:val="002E6E18"/>
    <w:rsid w:val="003B4FF6"/>
    <w:rsid w:val="004B60D1"/>
    <w:rsid w:val="00523C03"/>
    <w:rsid w:val="00566E19"/>
    <w:rsid w:val="0057117D"/>
    <w:rsid w:val="005801A9"/>
    <w:rsid w:val="005B43C9"/>
    <w:rsid w:val="00613B71"/>
    <w:rsid w:val="00655F97"/>
    <w:rsid w:val="0078355B"/>
    <w:rsid w:val="00797118"/>
    <w:rsid w:val="007E61D5"/>
    <w:rsid w:val="0088177D"/>
    <w:rsid w:val="00894194"/>
    <w:rsid w:val="008A0237"/>
    <w:rsid w:val="008D2265"/>
    <w:rsid w:val="00922238"/>
    <w:rsid w:val="00A13466"/>
    <w:rsid w:val="00A64B7C"/>
    <w:rsid w:val="00AA7333"/>
    <w:rsid w:val="00C04275"/>
    <w:rsid w:val="00C15C8F"/>
    <w:rsid w:val="00D668CB"/>
    <w:rsid w:val="00DD694B"/>
    <w:rsid w:val="00E66EE8"/>
    <w:rsid w:val="00E67A41"/>
    <w:rsid w:val="00E82CDE"/>
    <w:rsid w:val="00E8778F"/>
    <w:rsid w:val="00EC1FA6"/>
    <w:rsid w:val="00EC2B66"/>
    <w:rsid w:val="00EE1D04"/>
    <w:rsid w:val="00EE5143"/>
    <w:rsid w:val="00F067D4"/>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4C3587"/>
  <w15:docId w15:val="{6CF90CBA-12D7-46BE-8E57-8A1F753A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7D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82CDE"/>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067D4"/>
    <w:pPr>
      <w:keepNext/>
      <w:spacing w:before="240" w:after="240"/>
      <w:outlineLvl w:val="1"/>
    </w:pPr>
    <w:rPr>
      <w:rFonts w:cs="Arial"/>
      <w:b/>
      <w:bCs/>
      <w:iCs/>
      <w:caps/>
      <w:sz w:val="28"/>
      <w:szCs w:val="28"/>
    </w:rPr>
  </w:style>
  <w:style w:type="paragraph" w:styleId="Heading3">
    <w:name w:val="heading 3"/>
    <w:basedOn w:val="Normal"/>
    <w:next w:val="Normal"/>
    <w:link w:val="Heading3Char"/>
    <w:uiPriority w:val="9"/>
    <w:unhideWhenUsed/>
    <w:qFormat/>
    <w:rsid w:val="00F067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7D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aliases w:val="TABLE"/>
    <w:basedOn w:val="Normal"/>
    <w:next w:val="Normal"/>
    <w:link w:val="Heading6Char"/>
    <w:qFormat/>
    <w:rsid w:val="00F067D4"/>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7D4"/>
    <w:rPr>
      <w:rFonts w:ascii="Arial" w:eastAsia="Times New Roman" w:hAnsi="Arial" w:cs="Arial"/>
      <w:b/>
      <w:bCs/>
      <w:iCs/>
      <w:caps/>
      <w:sz w:val="28"/>
      <w:szCs w:val="28"/>
    </w:rPr>
  </w:style>
  <w:style w:type="character" w:customStyle="1" w:styleId="Heading6Char">
    <w:name w:val="Heading 6 Char"/>
    <w:aliases w:val="TABLE Char"/>
    <w:basedOn w:val="DefaultParagraphFont"/>
    <w:link w:val="Heading6"/>
    <w:rsid w:val="00F067D4"/>
    <w:rPr>
      <w:rFonts w:ascii="Arial" w:eastAsia="Times New Roman" w:hAnsi="Arial" w:cs="Times New Roman"/>
      <w:b/>
      <w:bCs/>
      <w:szCs w:val="20"/>
    </w:rPr>
  </w:style>
  <w:style w:type="paragraph" w:styleId="ListParagraph">
    <w:name w:val="List Paragraph"/>
    <w:basedOn w:val="Normal"/>
    <w:uiPriority w:val="34"/>
    <w:qFormat/>
    <w:rsid w:val="00F067D4"/>
    <w:pPr>
      <w:ind w:left="720"/>
      <w:contextualSpacing/>
    </w:pPr>
  </w:style>
  <w:style w:type="character" w:customStyle="1" w:styleId="Heading3Char">
    <w:name w:val="Heading 3 Char"/>
    <w:basedOn w:val="DefaultParagraphFont"/>
    <w:link w:val="Heading3"/>
    <w:uiPriority w:val="9"/>
    <w:rsid w:val="00F067D4"/>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rsid w:val="00F067D4"/>
    <w:rPr>
      <w:rFonts w:asciiTheme="majorHAnsi" w:eastAsiaTheme="majorEastAsia" w:hAnsiTheme="majorHAnsi" w:cstheme="majorBidi"/>
      <w:b/>
      <w:bCs/>
      <w:i/>
      <w:iCs/>
      <w:color w:val="4F81BD" w:themeColor="accent1"/>
      <w:szCs w:val="20"/>
    </w:rPr>
  </w:style>
  <w:style w:type="character" w:customStyle="1" w:styleId="Heading1Char">
    <w:name w:val="Heading 1 Char"/>
    <w:basedOn w:val="DefaultParagraphFont"/>
    <w:link w:val="Heading1"/>
    <w:uiPriority w:val="9"/>
    <w:rsid w:val="00E82CDE"/>
    <w:rPr>
      <w:rFonts w:ascii="Calibri" w:eastAsia="Times New Roman" w:hAnsi="Calibri" w:cs="Times New Roman"/>
      <w:b/>
      <w:bCs/>
      <w:kern w:val="32"/>
      <w:sz w:val="32"/>
      <w:szCs w:val="32"/>
    </w:rPr>
  </w:style>
  <w:style w:type="paragraph" w:styleId="Caption">
    <w:name w:val="caption"/>
    <w:basedOn w:val="Normal"/>
    <w:next w:val="Normal"/>
    <w:uiPriority w:val="35"/>
    <w:qFormat/>
    <w:rsid w:val="00E82CDE"/>
    <w:rPr>
      <w:rFonts w:ascii="Calibri" w:eastAsia="SimSun" w:hAnsi="Calibri"/>
      <w:b/>
      <w:bCs/>
      <w:sz w:val="20"/>
    </w:rPr>
  </w:style>
  <w:style w:type="character" w:styleId="Strong">
    <w:name w:val="Strong"/>
    <w:uiPriority w:val="22"/>
    <w:qFormat/>
    <w:rsid w:val="00E82CDE"/>
    <w:rPr>
      <w:b/>
      <w:bCs/>
    </w:rPr>
  </w:style>
  <w:style w:type="paragraph" w:styleId="BalloonText">
    <w:name w:val="Balloon Text"/>
    <w:basedOn w:val="Normal"/>
    <w:link w:val="BalloonTextChar"/>
    <w:uiPriority w:val="99"/>
    <w:semiHidden/>
    <w:unhideWhenUsed/>
    <w:rsid w:val="005801A9"/>
    <w:rPr>
      <w:rFonts w:ascii="Tahoma" w:hAnsi="Tahoma" w:cs="Tahoma"/>
      <w:sz w:val="16"/>
      <w:szCs w:val="16"/>
    </w:rPr>
  </w:style>
  <w:style w:type="character" w:customStyle="1" w:styleId="BalloonTextChar">
    <w:name w:val="Balloon Text Char"/>
    <w:basedOn w:val="DefaultParagraphFont"/>
    <w:link w:val="BalloonText"/>
    <w:uiPriority w:val="99"/>
    <w:semiHidden/>
    <w:rsid w:val="005801A9"/>
    <w:rPr>
      <w:rFonts w:ascii="Tahoma" w:eastAsia="Times New Roman" w:hAnsi="Tahoma" w:cs="Tahoma"/>
      <w:sz w:val="16"/>
      <w:szCs w:val="16"/>
    </w:rPr>
  </w:style>
  <w:style w:type="paragraph" w:customStyle="1" w:styleId="FHWABody">
    <w:name w:val="FHWA Body"/>
    <w:qFormat/>
    <w:rsid w:val="00D668CB"/>
    <w:pPr>
      <w:spacing w:after="240" w:line="240" w:lineRule="auto"/>
    </w:pPr>
    <w:rPr>
      <w:rFonts w:ascii="Times New Roman" w:eastAsia="Batang" w:hAnsi="Times New Roman" w:cs="Times New Roman"/>
      <w:sz w:val="24"/>
      <w:szCs w:val="24"/>
    </w:rPr>
  </w:style>
  <w:style w:type="paragraph" w:customStyle="1" w:styleId="FHWAFigureCaption">
    <w:name w:val="FHWA Figure Caption"/>
    <w:next w:val="FHWABody"/>
    <w:qFormat/>
    <w:rsid w:val="00D668CB"/>
    <w:pPr>
      <w:spacing w:before="40" w:after="240" w:line="240" w:lineRule="auto"/>
      <w:jc w:val="center"/>
    </w:pPr>
    <w:rPr>
      <w:rFonts w:ascii="Times New Roman" w:eastAsia="Batang" w:hAnsi="Times New Roman" w:cs="Times New Roman"/>
      <w:b/>
      <w:sz w:val="24"/>
      <w:szCs w:val="24"/>
    </w:rPr>
  </w:style>
  <w:style w:type="table" w:styleId="TableGrid">
    <w:name w:val="Table Grid"/>
    <w:basedOn w:val="TableNormal"/>
    <w:uiPriority w:val="59"/>
    <w:rsid w:val="00E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2B"/>
    <w:pPr>
      <w:tabs>
        <w:tab w:val="center" w:pos="4680"/>
        <w:tab w:val="right" w:pos="9360"/>
      </w:tabs>
    </w:pPr>
  </w:style>
  <w:style w:type="character" w:customStyle="1" w:styleId="HeaderChar">
    <w:name w:val="Header Char"/>
    <w:basedOn w:val="DefaultParagraphFont"/>
    <w:link w:val="Header"/>
    <w:uiPriority w:val="99"/>
    <w:rsid w:val="0013302B"/>
    <w:rPr>
      <w:rFonts w:ascii="Arial" w:eastAsia="Times New Roman" w:hAnsi="Arial" w:cs="Times New Roman"/>
      <w:szCs w:val="20"/>
    </w:rPr>
  </w:style>
  <w:style w:type="paragraph" w:styleId="Footer">
    <w:name w:val="footer"/>
    <w:basedOn w:val="Normal"/>
    <w:link w:val="FooterChar"/>
    <w:uiPriority w:val="99"/>
    <w:unhideWhenUsed/>
    <w:rsid w:val="0013302B"/>
    <w:pPr>
      <w:tabs>
        <w:tab w:val="center" w:pos="4680"/>
        <w:tab w:val="right" w:pos="9360"/>
      </w:tabs>
    </w:pPr>
  </w:style>
  <w:style w:type="character" w:customStyle="1" w:styleId="FooterChar">
    <w:name w:val="Footer Char"/>
    <w:basedOn w:val="DefaultParagraphFont"/>
    <w:link w:val="Footer"/>
    <w:uiPriority w:val="99"/>
    <w:rsid w:val="0013302B"/>
    <w:rPr>
      <w:rFonts w:ascii="Arial" w:eastAsia="Times New Roman" w:hAnsi="Arial" w:cs="Times New Roman"/>
      <w:szCs w:val="20"/>
    </w:rPr>
  </w:style>
  <w:style w:type="character" w:styleId="PlaceholderText">
    <w:name w:val="Placeholder Text"/>
    <w:basedOn w:val="DefaultParagraphFont"/>
    <w:uiPriority w:val="99"/>
    <w:semiHidden/>
    <w:rsid w:val="008A0237"/>
    <w:rPr>
      <w:color w:val="808080"/>
    </w:rPr>
  </w:style>
  <w:style w:type="paragraph" w:styleId="ListBullet">
    <w:name w:val="List Bullet"/>
    <w:basedOn w:val="Normal"/>
    <w:autoRedefine/>
    <w:rsid w:val="002E6E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37254C6686452DBBF5D7012ACADB6D"/>
        <w:category>
          <w:name w:val="General"/>
          <w:gallery w:val="placeholder"/>
        </w:category>
        <w:types>
          <w:type w:val="bbPlcHdr"/>
        </w:types>
        <w:behaviors>
          <w:behavior w:val="content"/>
        </w:behaviors>
        <w:guid w:val="{F428CD75-68FC-4E25-BB1A-2965A58186AD}"/>
      </w:docPartPr>
      <w:docPartBody>
        <w:p w:rsidR="00FD3F77" w:rsidRDefault="00F0521B" w:rsidP="00F0521B">
          <w:pPr>
            <w:pStyle w:val="7B37254C6686452DBBF5D7012ACADB6D"/>
          </w:pPr>
          <w:r>
            <w:rPr>
              <w:rFonts w:asciiTheme="majorHAnsi" w:eastAsiaTheme="majorEastAsia" w:hAnsiTheme="majorHAnsi" w:cstheme="majorBidi"/>
              <w:sz w:val="36"/>
              <w:szCs w:val="36"/>
            </w:rPr>
            <w:t>[Type the document title]</w:t>
          </w:r>
        </w:p>
      </w:docPartBody>
    </w:docPart>
    <w:docPart>
      <w:docPartPr>
        <w:name w:val="738F15B11BA1437D8EDDB7A52D720447"/>
        <w:category>
          <w:name w:val="General"/>
          <w:gallery w:val="placeholder"/>
        </w:category>
        <w:types>
          <w:type w:val="bbPlcHdr"/>
        </w:types>
        <w:behaviors>
          <w:behavior w:val="content"/>
        </w:behaviors>
        <w:guid w:val="{109048CF-B06D-470D-B2DD-6F7470E4679A}"/>
      </w:docPartPr>
      <w:docPartBody>
        <w:p w:rsidR="00FD3F77" w:rsidRDefault="00F0521B" w:rsidP="00F0521B">
          <w:pPr>
            <w:pStyle w:val="738F15B11BA1437D8EDDB7A52D720447"/>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21B"/>
    <w:rsid w:val="0001495C"/>
    <w:rsid w:val="007A2CCA"/>
    <w:rsid w:val="007C0C30"/>
    <w:rsid w:val="008D13F4"/>
    <w:rsid w:val="00A63EBF"/>
    <w:rsid w:val="00C1439A"/>
    <w:rsid w:val="00E877F2"/>
    <w:rsid w:val="00F0521B"/>
    <w:rsid w:val="00FD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7254C6686452DBBF5D7012ACADB6D">
    <w:name w:val="7B37254C6686452DBBF5D7012ACADB6D"/>
    <w:rsid w:val="00F0521B"/>
  </w:style>
  <w:style w:type="paragraph" w:customStyle="1" w:styleId="738F15B11BA1437D8EDDB7A52D720447">
    <w:name w:val="738F15B11BA1437D8EDDB7A52D720447"/>
    <w:rsid w:val="00F0521B"/>
  </w:style>
  <w:style w:type="character" w:styleId="PlaceholderText">
    <w:name w:val="Placeholder Text"/>
    <w:basedOn w:val="DefaultParagraphFont"/>
    <w:uiPriority w:val="99"/>
    <w:semiHidden/>
    <w:rsid w:val="008D13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FY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601E1D-93E2-414F-8343-DC2B665E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Indirect Tensile Strength</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Indirect Tensile Strength</dc:title>
  <dc:creator>Harold L. Von Quintus ARA/TRANS</dc:creator>
  <cp:lastModifiedBy>cbecker@us.ara.com</cp:lastModifiedBy>
  <cp:revision>11</cp:revision>
  <cp:lastPrinted>2018-07-16T20:06:00Z</cp:lastPrinted>
  <dcterms:created xsi:type="dcterms:W3CDTF">2015-09-08T02:11:00Z</dcterms:created>
  <dcterms:modified xsi:type="dcterms:W3CDTF">2018-08-21T17:29:00Z</dcterms:modified>
</cp:coreProperties>
</file>